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E4" w:rsidRPr="008A58B2" w:rsidRDefault="005A4FE4" w:rsidP="009978D4">
      <w:pPr>
        <w:spacing w:before="60" w:after="6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A58B2">
        <w:rPr>
          <w:rFonts w:ascii="Times New Roman" w:hAnsi="Times New Roman" w:cs="Times New Roman"/>
          <w:sz w:val="16"/>
          <w:szCs w:val="16"/>
        </w:rPr>
        <w:t>Начальнику</w:t>
      </w:r>
      <w:r w:rsidR="009978D4" w:rsidRPr="008A58B2">
        <w:rPr>
          <w:rFonts w:ascii="Times New Roman" w:hAnsi="Times New Roman" w:cs="Times New Roman"/>
          <w:sz w:val="16"/>
          <w:szCs w:val="16"/>
        </w:rPr>
        <w:t xml:space="preserve"> </w:t>
      </w:r>
      <w:r w:rsidRPr="008A58B2">
        <w:rPr>
          <w:rFonts w:ascii="Times New Roman" w:hAnsi="Times New Roman" w:cs="Times New Roman"/>
          <w:sz w:val="16"/>
          <w:szCs w:val="16"/>
        </w:rPr>
        <w:t>Кредитно-экономического управления</w:t>
      </w:r>
    </w:p>
    <w:p w:rsidR="005A4FE4" w:rsidRPr="008A58B2" w:rsidRDefault="005A4FE4" w:rsidP="005A4FE4">
      <w:pPr>
        <w:spacing w:before="60" w:after="6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A58B2">
        <w:rPr>
          <w:rFonts w:ascii="Times New Roman" w:hAnsi="Times New Roman" w:cs="Times New Roman"/>
          <w:sz w:val="16"/>
          <w:szCs w:val="16"/>
        </w:rPr>
        <w:t>АО Банк «Развитие-Столица»</w:t>
      </w:r>
    </w:p>
    <w:p w:rsidR="005A4FE4" w:rsidRPr="008A58B2" w:rsidRDefault="005A4FE4" w:rsidP="005A4FE4">
      <w:pPr>
        <w:spacing w:before="160" w:after="6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58B2">
        <w:rPr>
          <w:rFonts w:ascii="Times New Roman" w:hAnsi="Times New Roman" w:cs="Times New Roman"/>
          <w:b/>
          <w:sz w:val="16"/>
          <w:szCs w:val="16"/>
        </w:rPr>
        <w:t>ЗАЯВКА НА КРЕДИТ</w:t>
      </w:r>
    </w:p>
    <w:p w:rsidR="005A4FE4" w:rsidRPr="008A58B2" w:rsidRDefault="005A4FE4" w:rsidP="005A4FE4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A58B2">
        <w:rPr>
          <w:rFonts w:ascii="Times New Roman" w:hAnsi="Times New Roman" w:cs="Times New Roman"/>
          <w:b/>
          <w:sz w:val="16"/>
          <w:szCs w:val="16"/>
        </w:rPr>
        <w:t>Прошу Вас рассмотреть возможность предоставления кредита на следующих условиях: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3965"/>
        <w:gridCol w:w="6372"/>
      </w:tblGrid>
      <w:tr w:rsidR="005A4FE4" w:rsidRPr="008A58B2" w:rsidTr="007531A5">
        <w:tc>
          <w:tcPr>
            <w:tcW w:w="3965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A58B2">
              <w:rPr>
                <w:rFonts w:ascii="Times New Roman" w:hAnsi="Times New Roman" w:cs="Times New Roman"/>
                <w:sz w:val="16"/>
                <w:szCs w:val="16"/>
              </w:rPr>
              <w:t>Валюта</w:t>
            </w:r>
          </w:p>
        </w:tc>
        <w:tc>
          <w:tcPr>
            <w:tcW w:w="6372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FE4" w:rsidRPr="008A58B2" w:rsidTr="007531A5">
        <w:tc>
          <w:tcPr>
            <w:tcW w:w="3965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A58B2">
              <w:rPr>
                <w:rFonts w:ascii="Times New Roman" w:hAnsi="Times New Roman" w:cs="Times New Roman"/>
                <w:sz w:val="16"/>
                <w:szCs w:val="16"/>
              </w:rPr>
              <w:t>Сумма Кредита</w:t>
            </w:r>
          </w:p>
        </w:tc>
        <w:tc>
          <w:tcPr>
            <w:tcW w:w="6372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FE4" w:rsidRPr="008A58B2" w:rsidTr="007531A5">
        <w:tc>
          <w:tcPr>
            <w:tcW w:w="3965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A58B2">
              <w:rPr>
                <w:rFonts w:ascii="Times New Roman" w:hAnsi="Times New Roman" w:cs="Times New Roman"/>
                <w:sz w:val="16"/>
                <w:szCs w:val="16"/>
              </w:rPr>
              <w:t>Срок действия Кредита (в месяцах)</w:t>
            </w:r>
          </w:p>
        </w:tc>
        <w:tc>
          <w:tcPr>
            <w:tcW w:w="6372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FE4" w:rsidRPr="008A58B2" w:rsidTr="007531A5">
        <w:tc>
          <w:tcPr>
            <w:tcW w:w="3965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A58B2">
              <w:rPr>
                <w:rFonts w:ascii="Times New Roman" w:hAnsi="Times New Roman" w:cs="Times New Roman"/>
                <w:sz w:val="16"/>
                <w:szCs w:val="16"/>
              </w:rPr>
              <w:t>Предполагаемая процентная ставка</w:t>
            </w:r>
          </w:p>
        </w:tc>
        <w:tc>
          <w:tcPr>
            <w:tcW w:w="6372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FE4" w:rsidRPr="008A58B2" w:rsidTr="007531A5">
        <w:tc>
          <w:tcPr>
            <w:tcW w:w="3965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A58B2">
              <w:rPr>
                <w:rFonts w:ascii="Times New Roman" w:hAnsi="Times New Roman" w:cs="Times New Roman"/>
                <w:sz w:val="16"/>
                <w:szCs w:val="16"/>
              </w:rPr>
              <w:t>Целевое использование</w:t>
            </w:r>
          </w:p>
        </w:tc>
        <w:tc>
          <w:tcPr>
            <w:tcW w:w="6372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4FE4" w:rsidRPr="008A58B2" w:rsidRDefault="005A4FE4" w:rsidP="005A4FE4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A58B2">
        <w:rPr>
          <w:rFonts w:ascii="Times New Roman" w:hAnsi="Times New Roman" w:cs="Times New Roman"/>
          <w:b/>
          <w:sz w:val="16"/>
          <w:szCs w:val="16"/>
        </w:rPr>
        <w:t>Предлагаемое обеспечение: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3965"/>
        <w:gridCol w:w="6372"/>
      </w:tblGrid>
      <w:tr w:rsidR="005A4FE4" w:rsidRPr="008A58B2" w:rsidTr="007531A5">
        <w:tc>
          <w:tcPr>
            <w:tcW w:w="3965" w:type="dxa"/>
          </w:tcPr>
          <w:p w:rsidR="005A4FE4" w:rsidRPr="008A58B2" w:rsidRDefault="00FB6CA0" w:rsidP="001669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A58B2">
              <w:rPr>
                <w:rFonts w:ascii="Times New Roman" w:hAnsi="Times New Roman" w:cs="Times New Roman"/>
                <w:sz w:val="16"/>
                <w:szCs w:val="16"/>
              </w:rPr>
              <w:t>Предмет залога</w:t>
            </w:r>
          </w:p>
        </w:tc>
        <w:tc>
          <w:tcPr>
            <w:tcW w:w="6372" w:type="dxa"/>
          </w:tcPr>
          <w:p w:rsidR="005A4FE4" w:rsidRPr="008A58B2" w:rsidRDefault="005A4FE4" w:rsidP="005A4FE4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FE4" w:rsidRPr="008A58B2" w:rsidTr="007531A5">
        <w:tc>
          <w:tcPr>
            <w:tcW w:w="3965" w:type="dxa"/>
          </w:tcPr>
          <w:p w:rsidR="005A4FE4" w:rsidRPr="008A58B2" w:rsidRDefault="005A4FE4" w:rsidP="003B1D2B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A58B2">
              <w:rPr>
                <w:rFonts w:ascii="Times New Roman" w:hAnsi="Times New Roman" w:cs="Times New Roman"/>
                <w:sz w:val="16"/>
                <w:szCs w:val="16"/>
              </w:rPr>
              <w:t>Местонахождение</w:t>
            </w:r>
            <w:r w:rsidR="007A58B0" w:rsidRPr="008A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8B2">
              <w:rPr>
                <w:rFonts w:ascii="Times New Roman" w:hAnsi="Times New Roman" w:cs="Times New Roman"/>
                <w:sz w:val="16"/>
                <w:szCs w:val="16"/>
              </w:rPr>
              <w:t>(указать полный адрес объе</w:t>
            </w:r>
            <w:bookmarkStart w:id="0" w:name="_GoBack"/>
            <w:bookmarkEnd w:id="0"/>
            <w:r w:rsidRPr="008A58B2">
              <w:rPr>
                <w:rFonts w:ascii="Times New Roman" w:hAnsi="Times New Roman" w:cs="Times New Roman"/>
                <w:sz w:val="16"/>
                <w:szCs w:val="16"/>
              </w:rPr>
              <w:t>кта)</w:t>
            </w:r>
          </w:p>
        </w:tc>
        <w:tc>
          <w:tcPr>
            <w:tcW w:w="6372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FE4" w:rsidRPr="008A58B2" w:rsidTr="007531A5">
        <w:tc>
          <w:tcPr>
            <w:tcW w:w="3965" w:type="dxa"/>
          </w:tcPr>
          <w:p w:rsidR="005A4FE4" w:rsidRPr="008A58B2" w:rsidRDefault="005A4FE4" w:rsidP="005A4FE4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A58B2">
              <w:rPr>
                <w:rFonts w:ascii="Times New Roman" w:hAnsi="Times New Roman" w:cs="Times New Roman"/>
                <w:sz w:val="16"/>
                <w:szCs w:val="16"/>
              </w:rPr>
              <w:t>Поручительства</w:t>
            </w:r>
          </w:p>
        </w:tc>
        <w:tc>
          <w:tcPr>
            <w:tcW w:w="6372" w:type="dxa"/>
          </w:tcPr>
          <w:p w:rsidR="005A4FE4" w:rsidRPr="008A58B2" w:rsidRDefault="005A4FE4" w:rsidP="005A4FE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A4FE4" w:rsidRPr="008A58B2" w:rsidRDefault="005A4FE4" w:rsidP="007531A5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58B2">
        <w:rPr>
          <w:rFonts w:ascii="Times New Roman" w:hAnsi="Times New Roman" w:cs="Times New Roman"/>
          <w:sz w:val="16"/>
          <w:szCs w:val="16"/>
        </w:rPr>
        <w:t>НАСТОЯЩИМ Я ПОДТВЕРЖДАЮ, ЧТО:</w:t>
      </w:r>
    </w:p>
    <w:p w:rsidR="005A4FE4" w:rsidRPr="008A58B2" w:rsidRDefault="005A4FE4" w:rsidP="007531A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A58B2">
        <w:rPr>
          <w:rFonts w:ascii="Times New Roman" w:hAnsi="Times New Roman" w:cs="Times New Roman"/>
          <w:sz w:val="18"/>
          <w:szCs w:val="18"/>
        </w:rPr>
        <w:t>Все сведения, указанные мною в настоящей Заявке на кредит и предоставленной мною в анкете заемщика / анкете поручителя, могут быть в любое время проверены АО Банк «Развитие-Столица», его агентами или правопреемниками.</w:t>
      </w:r>
    </w:p>
    <w:p w:rsidR="005A4FE4" w:rsidRPr="008A58B2" w:rsidRDefault="005A4FE4" w:rsidP="007531A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A58B2">
        <w:rPr>
          <w:rFonts w:ascii="Times New Roman" w:hAnsi="Times New Roman" w:cs="Times New Roman"/>
          <w:sz w:val="18"/>
          <w:szCs w:val="18"/>
        </w:rPr>
        <w:t>Сведения, содержащиеся в настоящей Заявке на кредит и анкете заемщика / анкете поручителя, являются верными и точными на дату ее подписания, признаю, что предоставление вводящих в заблуждение сведений может повлечь за собой отказ в предоставлении кредита, и обязуюсь незамедлительно информировать АО Банк «Развитие-Столица» в случае изменения указанных сведений  до заключения кредитного договора / договора поручительства (предоставить новую анкету заемщика, анкету поручителя), а также о любых обстоятельствах, способных повлиять на выполнение мной обязательств по кредитному договору / договору поручительства.</w:t>
      </w:r>
    </w:p>
    <w:p w:rsidR="005A4FE4" w:rsidRPr="008A58B2" w:rsidRDefault="005A4FE4" w:rsidP="007531A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A58B2">
        <w:rPr>
          <w:rFonts w:ascii="Times New Roman" w:hAnsi="Times New Roman" w:cs="Times New Roman"/>
          <w:sz w:val="18"/>
          <w:szCs w:val="18"/>
        </w:rPr>
        <w:t>В случае заключения кредитного договора настоящим я (заемщик) предоставляю АО Банк «Развитие-Столица» право при отсутствии или недостаточности денежных средств на банковском счете, открытом мне на основании договора банковского счета для предоставления Банком кредита по кредитному договору,  производить списание денежных средств с любых счетов, открытых на мое имя в АО Банк «Развитие-Столица» в валюте кредита или в иной валюте в счет погашения задолженности по кредитному договору путем составления расчетных документов, необходимых для проведения указанных операций, в порядке, установленном законодательством Российской Федерации.</w:t>
      </w:r>
    </w:p>
    <w:p w:rsidR="005A4FE4" w:rsidRPr="008A58B2" w:rsidRDefault="005A4FE4" w:rsidP="007531A5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58B2">
        <w:rPr>
          <w:rFonts w:ascii="Times New Roman" w:hAnsi="Times New Roman" w:cs="Times New Roman"/>
          <w:sz w:val="16"/>
          <w:szCs w:val="16"/>
        </w:rPr>
        <w:t>НАСТОЯЩИМ Я СОГЛАШАЮСЬ С ТЕМ, ЧТО:</w:t>
      </w:r>
    </w:p>
    <w:p w:rsidR="00F00AED" w:rsidRPr="008A58B2" w:rsidRDefault="00BE3E03" w:rsidP="00FB6CA0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A58B2">
        <w:rPr>
          <w:rFonts w:ascii="Times New Roman" w:hAnsi="Times New Roman" w:cs="Times New Roman"/>
          <w:sz w:val="18"/>
          <w:szCs w:val="18"/>
        </w:rPr>
        <w:t>О</w:t>
      </w:r>
      <w:r w:rsidR="005748C5" w:rsidRPr="008A58B2">
        <w:rPr>
          <w:rFonts w:ascii="Times New Roman" w:hAnsi="Times New Roman" w:cs="Times New Roman"/>
          <w:sz w:val="18"/>
          <w:szCs w:val="18"/>
        </w:rPr>
        <w:t>знакомлен с тарифами АО Банк «Развитие-Столица», связанными с расчетно-кассовым обслуживанием и по кредитно-залоговыми операциям, и уведомлен, что с ними можно ознакомит</w:t>
      </w:r>
      <w:r w:rsidR="001B26EF" w:rsidRPr="008A58B2">
        <w:rPr>
          <w:rFonts w:ascii="Times New Roman" w:hAnsi="Times New Roman" w:cs="Times New Roman"/>
          <w:sz w:val="18"/>
          <w:szCs w:val="18"/>
        </w:rPr>
        <w:t>ь</w:t>
      </w:r>
      <w:r w:rsidR="005748C5" w:rsidRPr="008A58B2">
        <w:rPr>
          <w:rFonts w:ascii="Times New Roman" w:hAnsi="Times New Roman" w:cs="Times New Roman"/>
          <w:sz w:val="18"/>
          <w:szCs w:val="18"/>
        </w:rPr>
        <w:t xml:space="preserve">ся на сайте АО Банк «Развитие-Столица» по адресу: </w:t>
      </w:r>
      <w:proofErr w:type="spellStart"/>
      <w:r w:rsidR="005748C5" w:rsidRPr="008A58B2">
        <w:rPr>
          <w:rFonts w:ascii="Times New Roman" w:hAnsi="Times New Roman" w:cs="Times New Roman"/>
          <w:sz w:val="18"/>
          <w:szCs w:val="18"/>
          <w:lang w:val="en-US"/>
        </w:rPr>
        <w:t>Dcapital</w:t>
      </w:r>
      <w:proofErr w:type="spellEnd"/>
      <w:r w:rsidR="005748C5" w:rsidRPr="008A58B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5748C5" w:rsidRPr="008A58B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5748C5" w:rsidRPr="008A58B2">
        <w:rPr>
          <w:rFonts w:ascii="Times New Roman" w:hAnsi="Times New Roman" w:cs="Times New Roman"/>
          <w:sz w:val="18"/>
          <w:szCs w:val="18"/>
        </w:rPr>
        <w:t>.</w:t>
      </w:r>
      <w:r w:rsidR="007A58B0" w:rsidRPr="008A58B2">
        <w:rPr>
          <w:rFonts w:ascii="Times New Roman" w:hAnsi="Times New Roman" w:cs="Times New Roman"/>
          <w:sz w:val="18"/>
          <w:szCs w:val="18"/>
        </w:rPr>
        <w:t xml:space="preserve"> </w:t>
      </w:r>
      <w:r w:rsidR="005748C5" w:rsidRPr="008A58B2">
        <w:rPr>
          <w:rFonts w:ascii="Times New Roman" w:hAnsi="Times New Roman" w:cs="Times New Roman"/>
          <w:sz w:val="18"/>
          <w:szCs w:val="18"/>
        </w:rPr>
        <w:t>Проинформирован о дополнительных расходах, которые могут возникнуть в связ</w:t>
      </w:r>
      <w:r w:rsidR="00606D11" w:rsidRPr="008A58B2">
        <w:rPr>
          <w:rFonts w:ascii="Times New Roman" w:hAnsi="Times New Roman" w:cs="Times New Roman"/>
          <w:sz w:val="18"/>
          <w:szCs w:val="18"/>
        </w:rPr>
        <w:t>и с проведением ипотечной сделки</w:t>
      </w:r>
      <w:r w:rsidR="005748C5" w:rsidRPr="008A58B2">
        <w:rPr>
          <w:rFonts w:ascii="Times New Roman" w:hAnsi="Times New Roman" w:cs="Times New Roman"/>
          <w:sz w:val="18"/>
          <w:szCs w:val="18"/>
        </w:rPr>
        <w:t xml:space="preserve">, величина которых зависит от особенностей сделки, набора и стоимости услуг других организаций и изменения государственных пошлин (тарифов) и собственного выбора, </w:t>
      </w:r>
      <w:r w:rsidR="00F00AED" w:rsidRPr="008A58B2">
        <w:rPr>
          <w:rFonts w:ascii="Times New Roman" w:hAnsi="Times New Roman" w:cs="Times New Roman"/>
          <w:sz w:val="18"/>
          <w:szCs w:val="18"/>
        </w:rPr>
        <w:t>оплаты</w:t>
      </w:r>
      <w:r w:rsidR="005748C5" w:rsidRPr="008A58B2">
        <w:rPr>
          <w:rFonts w:ascii="Times New Roman" w:hAnsi="Times New Roman" w:cs="Times New Roman"/>
          <w:sz w:val="18"/>
          <w:szCs w:val="18"/>
        </w:rPr>
        <w:t xml:space="preserve"> государственной пошлины за регистрацию перехода права собственности на Предмет залога и/или ипотеки (залога) Предмета залога, </w:t>
      </w:r>
      <w:r w:rsidR="00F00AED" w:rsidRPr="008A58B2">
        <w:rPr>
          <w:rFonts w:ascii="Times New Roman" w:hAnsi="Times New Roman" w:cs="Times New Roman"/>
          <w:sz w:val="18"/>
          <w:szCs w:val="18"/>
        </w:rPr>
        <w:t>оплаты</w:t>
      </w:r>
      <w:r w:rsidR="005748C5" w:rsidRPr="008A58B2">
        <w:rPr>
          <w:rFonts w:ascii="Times New Roman" w:hAnsi="Times New Roman" w:cs="Times New Roman"/>
          <w:sz w:val="18"/>
          <w:szCs w:val="18"/>
        </w:rPr>
        <w:t xml:space="preserve"> услуг нотар</w:t>
      </w:r>
      <w:r w:rsidR="00F00AED" w:rsidRPr="008A58B2">
        <w:rPr>
          <w:rFonts w:ascii="Times New Roman" w:hAnsi="Times New Roman" w:cs="Times New Roman"/>
          <w:sz w:val="18"/>
          <w:szCs w:val="18"/>
        </w:rPr>
        <w:t xml:space="preserve">иуса (в случае его привлечения), а также: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  <w:gridCol w:w="1276"/>
        <w:gridCol w:w="1455"/>
      </w:tblGrid>
      <w:tr w:rsidR="00F00AED" w:rsidRPr="008A58B2" w:rsidTr="0010319B">
        <w:tc>
          <w:tcPr>
            <w:tcW w:w="10773" w:type="dxa"/>
            <w:gridSpan w:val="3"/>
            <w:shd w:val="clear" w:color="auto" w:fill="auto"/>
          </w:tcPr>
          <w:p w:rsidR="00F00AED" w:rsidRPr="008A58B2" w:rsidRDefault="00F00AED" w:rsidP="00D3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Обязательное страхование Предмета залога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B6CA0" w:rsidRPr="008A58B2">
              <w:rPr>
                <w:rFonts w:ascii="Times New Roman" w:hAnsi="Times New Roman" w:cs="Times New Roman"/>
                <w:sz w:val="18"/>
                <w:szCs w:val="18"/>
              </w:rPr>
              <w:t>если к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>редитным договором не установлено иное)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00AED" w:rsidRPr="008A58B2" w:rsidTr="0010319B">
        <w:tc>
          <w:tcPr>
            <w:tcW w:w="10773" w:type="dxa"/>
            <w:gridSpan w:val="3"/>
            <w:shd w:val="clear" w:color="auto" w:fill="auto"/>
          </w:tcPr>
          <w:p w:rsidR="00F00AED" w:rsidRPr="008A58B2" w:rsidRDefault="00F00AED" w:rsidP="009C6D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Страхование Предмета залога от рисков случайной гибели, утраты, повреждения (на срок действия Кредитного договора).</w:t>
            </w:r>
          </w:p>
        </w:tc>
      </w:tr>
      <w:tr w:rsidR="00F00AED" w:rsidRPr="008A58B2" w:rsidTr="0010319B">
        <w:tc>
          <w:tcPr>
            <w:tcW w:w="10773" w:type="dxa"/>
            <w:gridSpan w:val="3"/>
            <w:shd w:val="clear" w:color="auto" w:fill="auto"/>
          </w:tcPr>
          <w:p w:rsidR="00F00AED" w:rsidRPr="008A58B2" w:rsidRDefault="00F00AED" w:rsidP="009C6D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Добровольное страхование Предмета залога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B6CA0" w:rsidRPr="008A58B2">
              <w:rPr>
                <w:rFonts w:ascii="Times New Roman" w:hAnsi="Times New Roman" w:cs="Times New Roman"/>
                <w:sz w:val="18"/>
                <w:szCs w:val="18"/>
              </w:rPr>
              <w:t>если к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>редитным договором не установлено иное)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B6CA0" w:rsidRPr="008A58B2" w:rsidTr="003B7DDF">
        <w:tc>
          <w:tcPr>
            <w:tcW w:w="8080" w:type="dxa"/>
            <w:shd w:val="clear" w:color="auto" w:fill="auto"/>
          </w:tcPr>
          <w:p w:rsidR="00FB6CA0" w:rsidRPr="008A58B2" w:rsidRDefault="00FB6CA0" w:rsidP="009C6D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 имущественных интересов, связанных с причинением вреда жизни и здоровья Заемщика </w:t>
            </w:r>
          </w:p>
          <w:p w:rsidR="00FB6CA0" w:rsidRPr="008A58B2" w:rsidRDefault="00FB6CA0" w:rsidP="009C6D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B6CA0" w:rsidRPr="008A58B2" w:rsidRDefault="00FB6CA0" w:rsidP="009C6DA2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Согласен </w:t>
            </w:r>
          </w:p>
        </w:tc>
        <w:tc>
          <w:tcPr>
            <w:tcW w:w="1417" w:type="dxa"/>
            <w:shd w:val="clear" w:color="auto" w:fill="auto"/>
          </w:tcPr>
          <w:p w:rsidR="00FB6CA0" w:rsidRPr="008A58B2" w:rsidRDefault="00FB6CA0" w:rsidP="009C6DA2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Не согласен</w:t>
            </w:r>
          </w:p>
        </w:tc>
      </w:tr>
      <w:tr w:rsidR="00FB6CA0" w:rsidRPr="008A58B2" w:rsidTr="003B7DDF">
        <w:trPr>
          <w:trHeight w:val="209"/>
        </w:trPr>
        <w:tc>
          <w:tcPr>
            <w:tcW w:w="8080" w:type="dxa"/>
            <w:shd w:val="clear" w:color="auto" w:fill="auto"/>
          </w:tcPr>
          <w:p w:rsidR="00FB6CA0" w:rsidRPr="008A58B2" w:rsidRDefault="00FB6CA0" w:rsidP="009C6D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 Предмета залога от рисков ограничения или прекращения права собственности </w:t>
            </w:r>
          </w:p>
          <w:p w:rsidR="00FB6CA0" w:rsidRPr="008A58B2" w:rsidRDefault="00FB6CA0" w:rsidP="009C6D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B6CA0" w:rsidRPr="008A58B2" w:rsidRDefault="00FB6CA0" w:rsidP="009C6DA2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Согласен </w:t>
            </w:r>
          </w:p>
        </w:tc>
        <w:tc>
          <w:tcPr>
            <w:tcW w:w="1417" w:type="dxa"/>
            <w:shd w:val="clear" w:color="auto" w:fill="auto"/>
          </w:tcPr>
          <w:p w:rsidR="00FB6CA0" w:rsidRPr="008A58B2" w:rsidRDefault="00FB6CA0" w:rsidP="009C6DA2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Не согласен</w:t>
            </w:r>
          </w:p>
        </w:tc>
      </w:tr>
      <w:tr w:rsidR="003C4E5A" w:rsidRPr="008A58B2" w:rsidTr="0010319B">
        <w:tc>
          <w:tcPr>
            <w:tcW w:w="10773" w:type="dxa"/>
            <w:gridSpan w:val="3"/>
            <w:shd w:val="clear" w:color="auto" w:fill="auto"/>
          </w:tcPr>
          <w:p w:rsidR="003C4E5A" w:rsidRPr="008A58B2" w:rsidRDefault="003C4E5A" w:rsidP="00D30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В случае отказа от страхования или невыполнения обязанностей по страхованию (при наличии страхования) размер процентной ставки по Кредиту увеличивается в соответствии с условиями кредитного договора.</w:t>
            </w:r>
          </w:p>
        </w:tc>
      </w:tr>
      <w:tr w:rsidR="00FB6CA0" w:rsidRPr="008A58B2" w:rsidTr="003B7DDF">
        <w:trPr>
          <w:trHeight w:val="334"/>
        </w:trPr>
        <w:tc>
          <w:tcPr>
            <w:tcW w:w="8080" w:type="dxa"/>
            <w:shd w:val="clear" w:color="auto" w:fill="auto"/>
          </w:tcPr>
          <w:p w:rsidR="00FB6CA0" w:rsidRPr="008A58B2" w:rsidRDefault="00FB6CA0" w:rsidP="0029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Оценка Предмета залога оценочной компанией</w:t>
            </w:r>
          </w:p>
        </w:tc>
        <w:tc>
          <w:tcPr>
            <w:tcW w:w="1276" w:type="dxa"/>
            <w:shd w:val="clear" w:color="auto" w:fill="auto"/>
          </w:tcPr>
          <w:p w:rsidR="00FB6CA0" w:rsidRPr="008A58B2" w:rsidRDefault="00FB6CA0" w:rsidP="009C6DA2">
            <w:pPr>
              <w:numPr>
                <w:ilvl w:val="0"/>
                <w:numId w:val="6"/>
              </w:numPr>
              <w:spacing w:before="60" w:after="60" w:line="240" w:lineRule="auto"/>
              <w:ind w:left="31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Согласен </w:t>
            </w:r>
          </w:p>
        </w:tc>
        <w:tc>
          <w:tcPr>
            <w:tcW w:w="1417" w:type="dxa"/>
            <w:shd w:val="clear" w:color="auto" w:fill="auto"/>
          </w:tcPr>
          <w:p w:rsidR="00FB6CA0" w:rsidRPr="008A58B2" w:rsidRDefault="00FB6CA0" w:rsidP="009C6DA2">
            <w:pPr>
              <w:numPr>
                <w:ilvl w:val="0"/>
                <w:numId w:val="5"/>
              </w:numPr>
              <w:spacing w:before="60" w:after="60" w:line="240" w:lineRule="auto"/>
              <w:ind w:left="31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Не согласен</w:t>
            </w:r>
          </w:p>
        </w:tc>
      </w:tr>
      <w:tr w:rsidR="00F00AED" w:rsidRPr="008A58B2" w:rsidTr="0010319B">
        <w:tc>
          <w:tcPr>
            <w:tcW w:w="10773" w:type="dxa"/>
            <w:gridSpan w:val="3"/>
            <w:shd w:val="clear" w:color="auto" w:fill="auto"/>
          </w:tcPr>
          <w:p w:rsidR="00F00AED" w:rsidRPr="008A58B2" w:rsidRDefault="00F00AED" w:rsidP="002C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Заемщик в течение 30 (Тридцат</w:t>
            </w:r>
            <w:r w:rsidR="002C03D6" w:rsidRPr="008A58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) календарных дней со дня выражения согласия 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в заявлении на предоставление Кредита 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право отказаться от добровольных 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="00FB6CA0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подачи третьим лицам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, предостави</w:t>
            </w:r>
            <w:r w:rsidR="00FB6CA0" w:rsidRPr="008A58B2">
              <w:rPr>
                <w:rFonts w:ascii="Times New Roman" w:hAnsi="Times New Roman" w:cs="Times New Roman"/>
                <w:sz w:val="18"/>
                <w:szCs w:val="18"/>
              </w:rPr>
              <w:t>вши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данные услуги, заявления об отказе от данных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CA0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а также 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требовать от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CA0" w:rsidRPr="008A58B2">
              <w:rPr>
                <w:rFonts w:ascii="Times New Roman" w:hAnsi="Times New Roman" w:cs="Times New Roman"/>
                <w:sz w:val="18"/>
                <w:szCs w:val="18"/>
              </w:rPr>
              <w:t>данных третьих лиц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возврата денежных средств, за вычетом стоимости части фактически оказанных услуг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 При неисполнении </w:t>
            </w:r>
            <w:r w:rsidR="0022463A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третьими лицами, предоставившими данные услуги, 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обязанности по возврату денежных средств Заемщик имеет право не ранее чем по истечению 30 (Тридцати) календарных дней, но не позднее 180 (Ста восьмидесяти) календарных дней со дня обращения с заявлением об отказе от услуги, требовать возврата денежных средств, за вычетом стоимости части фактичес</w:t>
            </w:r>
            <w:r w:rsidR="00D30534" w:rsidRPr="008A58B2">
              <w:rPr>
                <w:rFonts w:ascii="Times New Roman" w:hAnsi="Times New Roman" w:cs="Times New Roman"/>
                <w:sz w:val="18"/>
                <w:szCs w:val="18"/>
              </w:rPr>
              <w:t xml:space="preserve">ки оказанных услуг, от </w:t>
            </w:r>
            <w:r w:rsidR="00224AD1" w:rsidRPr="008A58B2">
              <w:rPr>
                <w:rFonts w:ascii="Times New Roman" w:hAnsi="Times New Roman" w:cs="Times New Roman"/>
                <w:sz w:val="18"/>
                <w:szCs w:val="18"/>
              </w:rPr>
              <w:t>АО Банк «Развитие-Столица»</w:t>
            </w: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053E5" w:rsidRPr="008A58B2" w:rsidRDefault="005A4FE4" w:rsidP="007531A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A58B2">
        <w:rPr>
          <w:rFonts w:ascii="Times New Roman" w:hAnsi="Times New Roman" w:cs="Times New Roman"/>
          <w:sz w:val="18"/>
          <w:szCs w:val="18"/>
        </w:rPr>
        <w:t>АО Банк «Развитие-Столица» имеет право без объяснения причин отказать мне в предоставлении кредита / в принятии поручительства, и я не буду иметь претензий к АО Банк «Развитие-Столица» в этом случае.</w:t>
      </w:r>
      <w:r w:rsidR="00BE3E03" w:rsidRPr="008A58B2">
        <w:rPr>
          <w:rFonts w:ascii="Times New Roman" w:hAnsi="Times New Roman" w:cs="Times New Roman"/>
          <w:sz w:val="18"/>
          <w:szCs w:val="18"/>
        </w:rPr>
        <w:t xml:space="preserve"> </w:t>
      </w:r>
      <w:r w:rsidRPr="008A58B2">
        <w:rPr>
          <w:rFonts w:ascii="Times New Roman" w:hAnsi="Times New Roman" w:cs="Times New Roman"/>
          <w:sz w:val="18"/>
          <w:szCs w:val="18"/>
        </w:rPr>
        <w:t>В случае отказа в предоставлении кредита, оригинал настоящей Заявки на кредит, анкеты заемщика, анкеты поручителя и копии переданных мною документов в АО Банк «Развитие-Столица» не возвращаются.</w:t>
      </w:r>
    </w:p>
    <w:p w:rsidR="005A4FE4" w:rsidRPr="008A58B2" w:rsidRDefault="005A4FE4" w:rsidP="007531A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A58B2">
        <w:rPr>
          <w:rFonts w:ascii="Times New Roman" w:hAnsi="Times New Roman" w:cs="Times New Roman"/>
          <w:sz w:val="18"/>
          <w:szCs w:val="18"/>
        </w:rPr>
        <w:t>Я должен нести расходы, связанные с рассмотрением Заявки на кредит, предоставлением кредита и исполнением своих обязательств по кредитному договору, договору поручительства. При этом понесенные мной расходы не обязывают АО Банк «Развитие-Столица» предоставить кредит или возместить понесенные расходы.</w:t>
      </w:r>
    </w:p>
    <w:p w:rsidR="005A4FE4" w:rsidRPr="008A58B2" w:rsidRDefault="005A4FE4" w:rsidP="007531A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A58B2">
        <w:rPr>
          <w:rFonts w:ascii="Times New Roman" w:hAnsi="Times New Roman" w:cs="Times New Roman"/>
          <w:sz w:val="18"/>
          <w:szCs w:val="18"/>
        </w:rPr>
        <w:t>АО Банк «Развитие-Столица» может передавать сведения обо мне и о кредитном договоре, договоре поручительства лицам, с которыми я заключу договоры, предусмотренные условиями кредитного договора, договора поручительства, и уполномочиваю АО Банк «Развитие-Столица» предоставлять указанную информацию такому лицу.</w:t>
      </w:r>
    </w:p>
    <w:p w:rsidR="005A4FE4" w:rsidRPr="008A58B2" w:rsidRDefault="005A4FE4" w:rsidP="007531A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A58B2">
        <w:rPr>
          <w:rFonts w:ascii="Times New Roman" w:hAnsi="Times New Roman" w:cs="Times New Roman"/>
          <w:sz w:val="18"/>
          <w:szCs w:val="18"/>
        </w:rPr>
        <w:t>АО Банк «Развитие-Столица» может передавать сведения о принятом положительном/отрицательном решении о предоставлении кредита третьему лицу (кредитному брокеру), подающему за меня настоящую Заявку на кредит, анкету заемщика, анкету поручителя и/или документы, необходимые для рассмотрения Банком вопроса о предоставлении мне кредита, по телефону, указанному в разделе «Контактная информация» анкеты заемщика, анкеты поручителя.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4FE4" w:rsidRPr="008A58B2" w:rsidTr="005A4FE4">
        <w:tc>
          <w:tcPr>
            <w:tcW w:w="5381" w:type="dxa"/>
            <w:shd w:val="clear" w:color="auto" w:fill="auto"/>
          </w:tcPr>
          <w:p w:rsidR="005A4FE4" w:rsidRPr="008A58B2" w:rsidRDefault="005A4FE4" w:rsidP="007531A5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Ф.И.О. Заемщика</w:t>
            </w:r>
          </w:p>
        </w:tc>
        <w:tc>
          <w:tcPr>
            <w:tcW w:w="5381" w:type="dxa"/>
            <w:shd w:val="clear" w:color="auto" w:fill="auto"/>
          </w:tcPr>
          <w:p w:rsidR="005A4FE4" w:rsidRPr="008A58B2" w:rsidRDefault="004B3665" w:rsidP="007531A5">
            <w:pPr>
              <w:spacing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8B2">
              <w:rPr>
                <w:rFonts w:ascii="Times New Roman" w:hAnsi="Times New Roman" w:cs="Times New Roman"/>
                <w:sz w:val="18"/>
                <w:szCs w:val="18"/>
              </w:rPr>
              <w:t>___________________________(____________________________)</w:t>
            </w:r>
          </w:p>
        </w:tc>
      </w:tr>
    </w:tbl>
    <w:p w:rsidR="007531A5" w:rsidRPr="007531A5" w:rsidRDefault="005A4FE4" w:rsidP="007531A5">
      <w:pPr>
        <w:spacing w:after="6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A58B2">
        <w:rPr>
          <w:rFonts w:ascii="Times New Roman" w:hAnsi="Times New Roman" w:cs="Times New Roman"/>
          <w:sz w:val="18"/>
          <w:szCs w:val="18"/>
        </w:rPr>
        <w:t>«</w:t>
      </w:r>
      <w:r w:rsidR="004B3665" w:rsidRPr="008A58B2">
        <w:rPr>
          <w:rFonts w:ascii="Times New Roman" w:hAnsi="Times New Roman" w:cs="Times New Roman"/>
          <w:sz w:val="18"/>
          <w:szCs w:val="18"/>
        </w:rPr>
        <w:t>___</w:t>
      </w:r>
      <w:r w:rsidRPr="008A58B2">
        <w:rPr>
          <w:rFonts w:ascii="Times New Roman" w:hAnsi="Times New Roman" w:cs="Times New Roman"/>
          <w:sz w:val="18"/>
          <w:szCs w:val="18"/>
        </w:rPr>
        <w:t xml:space="preserve">» </w:t>
      </w:r>
      <w:r w:rsidR="004B3665" w:rsidRPr="008A58B2">
        <w:rPr>
          <w:rFonts w:ascii="Times New Roman" w:hAnsi="Times New Roman" w:cs="Times New Roman"/>
          <w:sz w:val="18"/>
          <w:szCs w:val="18"/>
        </w:rPr>
        <w:t>_______________</w:t>
      </w:r>
      <w:r w:rsidRPr="008A58B2">
        <w:rPr>
          <w:rFonts w:ascii="Times New Roman" w:hAnsi="Times New Roman" w:cs="Times New Roman"/>
          <w:sz w:val="18"/>
          <w:szCs w:val="18"/>
        </w:rPr>
        <w:t xml:space="preserve"> 202</w:t>
      </w:r>
      <w:r w:rsidR="004B3665" w:rsidRPr="008A58B2">
        <w:rPr>
          <w:rFonts w:ascii="Times New Roman" w:hAnsi="Times New Roman" w:cs="Times New Roman"/>
          <w:sz w:val="18"/>
          <w:szCs w:val="18"/>
        </w:rPr>
        <w:t>__</w:t>
      </w:r>
      <w:r w:rsidR="000B6F6C" w:rsidRPr="008A58B2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7531A5" w:rsidRPr="007531A5" w:rsidSect="007531A5">
      <w:pgSz w:w="11906" w:h="16838"/>
      <w:pgMar w:top="284" w:right="567" w:bottom="283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119C"/>
    <w:multiLevelType w:val="hybridMultilevel"/>
    <w:tmpl w:val="99FA9A1A"/>
    <w:lvl w:ilvl="0" w:tplc="2084CC4A">
      <w:start w:val="1"/>
      <w:numFmt w:val="bullet"/>
      <w:lvlText w:val="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161B2DEF"/>
    <w:multiLevelType w:val="hybridMultilevel"/>
    <w:tmpl w:val="EE70DD2A"/>
    <w:lvl w:ilvl="0" w:tplc="2084CC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7817"/>
    <w:multiLevelType w:val="hybridMultilevel"/>
    <w:tmpl w:val="C47AFC0E"/>
    <w:lvl w:ilvl="0" w:tplc="2084CC4A">
      <w:start w:val="1"/>
      <w:numFmt w:val="bullet"/>
      <w:lvlText w:val="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>
    <w:nsid w:val="4C730A64"/>
    <w:multiLevelType w:val="hybridMultilevel"/>
    <w:tmpl w:val="8B88481C"/>
    <w:lvl w:ilvl="0" w:tplc="0419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4">
    <w:nsid w:val="62D67A18"/>
    <w:multiLevelType w:val="hybridMultilevel"/>
    <w:tmpl w:val="560EAEF2"/>
    <w:lvl w:ilvl="0" w:tplc="2084CC4A">
      <w:start w:val="1"/>
      <w:numFmt w:val="bullet"/>
      <w:lvlText w:val="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67600BE0"/>
    <w:multiLevelType w:val="multilevel"/>
    <w:tmpl w:val="6E541040"/>
    <w:lvl w:ilvl="0">
      <w:start w:val="1"/>
      <w:numFmt w:val="decimal"/>
      <w:lvlRestart w:val="0"/>
      <w:lvlText w:val="%1."/>
      <w:lvlJc w:val="left"/>
      <w:pPr>
        <w:ind w:left="425" w:hanging="425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E4"/>
    <w:rsid w:val="00047BCF"/>
    <w:rsid w:val="000B531F"/>
    <w:rsid w:val="000B6F6C"/>
    <w:rsid w:val="000D3D1D"/>
    <w:rsid w:val="0010319B"/>
    <w:rsid w:val="00166979"/>
    <w:rsid w:val="001B26EF"/>
    <w:rsid w:val="001D4800"/>
    <w:rsid w:val="0022463A"/>
    <w:rsid w:val="00224AD1"/>
    <w:rsid w:val="00296C3C"/>
    <w:rsid w:val="00297E5F"/>
    <w:rsid w:val="002C03D6"/>
    <w:rsid w:val="00307F92"/>
    <w:rsid w:val="003B1D2B"/>
    <w:rsid w:val="003B7DDF"/>
    <w:rsid w:val="003C4E5A"/>
    <w:rsid w:val="004B3665"/>
    <w:rsid w:val="00526CE4"/>
    <w:rsid w:val="005748C5"/>
    <w:rsid w:val="005A4FE4"/>
    <w:rsid w:val="005D0B11"/>
    <w:rsid w:val="005F312F"/>
    <w:rsid w:val="00606D11"/>
    <w:rsid w:val="0062069D"/>
    <w:rsid w:val="0066186E"/>
    <w:rsid w:val="007531A5"/>
    <w:rsid w:val="007A58B0"/>
    <w:rsid w:val="00834D2B"/>
    <w:rsid w:val="008A58B2"/>
    <w:rsid w:val="009053E5"/>
    <w:rsid w:val="009978D4"/>
    <w:rsid w:val="009B1AC9"/>
    <w:rsid w:val="009E24D4"/>
    <w:rsid w:val="00A40F43"/>
    <w:rsid w:val="00A50E4D"/>
    <w:rsid w:val="00AE36D9"/>
    <w:rsid w:val="00B02EE5"/>
    <w:rsid w:val="00B254AC"/>
    <w:rsid w:val="00B627FD"/>
    <w:rsid w:val="00BE3E03"/>
    <w:rsid w:val="00C259FB"/>
    <w:rsid w:val="00C2639C"/>
    <w:rsid w:val="00C4375C"/>
    <w:rsid w:val="00C551A2"/>
    <w:rsid w:val="00C84303"/>
    <w:rsid w:val="00D228B3"/>
    <w:rsid w:val="00D30534"/>
    <w:rsid w:val="00D331FD"/>
    <w:rsid w:val="00D82AC4"/>
    <w:rsid w:val="00D931F3"/>
    <w:rsid w:val="00EA4725"/>
    <w:rsid w:val="00EC6900"/>
    <w:rsid w:val="00F00AED"/>
    <w:rsid w:val="00F2206C"/>
    <w:rsid w:val="00F83986"/>
    <w:rsid w:val="00FA6FB8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BD913-F723-4494-B66E-1F1CE069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E4"/>
    <w:pPr>
      <w:ind w:left="720"/>
    </w:pPr>
  </w:style>
  <w:style w:type="table" w:styleId="a4">
    <w:name w:val="Table Grid"/>
    <w:basedOn w:val="a1"/>
    <w:uiPriority w:val="39"/>
    <w:rsid w:val="005A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B4CC-CBA3-4A13-9BF1-71065150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alamal</dc:creator>
  <cp:lastModifiedBy>bme</cp:lastModifiedBy>
  <cp:revision>3</cp:revision>
  <cp:lastPrinted>2024-01-24T12:08:00Z</cp:lastPrinted>
  <dcterms:created xsi:type="dcterms:W3CDTF">2024-01-25T13:13:00Z</dcterms:created>
  <dcterms:modified xsi:type="dcterms:W3CDTF">2024-01-25T15:32:00Z</dcterms:modified>
</cp:coreProperties>
</file>