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936"/>
        <w:gridCol w:w="5953"/>
      </w:tblGrid>
      <w:tr w:rsidR="00C34622" w:rsidRPr="00B23632" w14:paraId="09DF54F9" w14:textId="77777777">
        <w:trPr>
          <w:trHeight w:val="1843"/>
        </w:trPr>
        <w:tc>
          <w:tcPr>
            <w:tcW w:w="3936" w:type="dxa"/>
          </w:tcPr>
          <w:p w14:paraId="380BBB4D" w14:textId="77777777" w:rsidR="00C34622" w:rsidRPr="00C8192D" w:rsidRDefault="007F3270" w:rsidP="00C34622">
            <w:pPr>
              <w:rPr>
                <w:highlight w:val="yellow"/>
                <w:lang w:val="en-US"/>
              </w:rPr>
            </w:pPr>
            <w:r w:rsidRPr="00847706">
              <w:rPr>
                <w:noProof/>
                <w:szCs w:val="22"/>
              </w:rPr>
              <w:drawing>
                <wp:inline distT="0" distB="0" distL="0" distR="0" wp14:anchorId="4E7316AB" wp14:editId="303970C5">
                  <wp:extent cx="1495425" cy="514350"/>
                  <wp:effectExtent l="0" t="0" r="9525" b="0"/>
                  <wp:docPr id="1" name="Рисунок 1" descr="  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 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1D48C6" w14:textId="77777777" w:rsidR="00C34622" w:rsidRDefault="00C34622" w:rsidP="00C34622">
            <w:pPr>
              <w:rPr>
                <w:highlight w:val="yellow"/>
              </w:rPr>
            </w:pPr>
          </w:p>
          <w:p w14:paraId="3F7D9890" w14:textId="77777777" w:rsidR="00C34622" w:rsidRDefault="00C34622" w:rsidP="00C34622">
            <w:pPr>
              <w:rPr>
                <w:highlight w:val="yellow"/>
              </w:rPr>
            </w:pPr>
          </w:p>
          <w:p w14:paraId="5052B4D6" w14:textId="77777777" w:rsidR="00C34622" w:rsidRDefault="00C34622" w:rsidP="00C34622">
            <w:pPr>
              <w:rPr>
                <w:highlight w:val="yellow"/>
              </w:rPr>
            </w:pPr>
          </w:p>
          <w:p w14:paraId="0FF05E7F" w14:textId="77777777" w:rsidR="00C34622" w:rsidRDefault="00C34622" w:rsidP="00C34622">
            <w:pPr>
              <w:rPr>
                <w:highlight w:val="yellow"/>
              </w:rPr>
            </w:pPr>
          </w:p>
          <w:p w14:paraId="1365DF11" w14:textId="77777777" w:rsidR="00C52991" w:rsidRDefault="00C52991" w:rsidP="00674098">
            <w:pPr>
              <w:pStyle w:val="a9"/>
              <w:jc w:val="both"/>
              <w:rPr>
                <w:highlight w:val="yellow"/>
              </w:rPr>
            </w:pPr>
          </w:p>
          <w:p w14:paraId="462B5A1B" w14:textId="77777777" w:rsidR="003475E0" w:rsidRDefault="003475E0" w:rsidP="00674098">
            <w:pPr>
              <w:pStyle w:val="a9"/>
              <w:jc w:val="both"/>
              <w:rPr>
                <w:highlight w:val="yellow"/>
              </w:rPr>
            </w:pPr>
          </w:p>
          <w:p w14:paraId="082C89DD" w14:textId="77777777" w:rsidR="003475E0" w:rsidRDefault="003475E0" w:rsidP="00674098">
            <w:pPr>
              <w:pStyle w:val="a9"/>
              <w:jc w:val="both"/>
              <w:rPr>
                <w:highlight w:val="yellow"/>
              </w:rPr>
            </w:pPr>
          </w:p>
          <w:p w14:paraId="2FB1A4C6" w14:textId="77777777" w:rsidR="003475E0" w:rsidRDefault="003475E0" w:rsidP="00674098">
            <w:pPr>
              <w:pStyle w:val="a9"/>
              <w:jc w:val="both"/>
              <w:rPr>
                <w:highlight w:val="yellow"/>
              </w:rPr>
            </w:pPr>
          </w:p>
          <w:p w14:paraId="4D0B1054" w14:textId="77777777" w:rsidR="003475E0" w:rsidRDefault="003475E0" w:rsidP="00674098">
            <w:pPr>
              <w:pStyle w:val="a9"/>
              <w:jc w:val="both"/>
              <w:rPr>
                <w:highlight w:val="yellow"/>
              </w:rPr>
            </w:pPr>
          </w:p>
          <w:p w14:paraId="3C7E3C89" w14:textId="77777777" w:rsidR="003475E0" w:rsidRDefault="003475E0" w:rsidP="00674098">
            <w:pPr>
              <w:pStyle w:val="a9"/>
              <w:jc w:val="both"/>
              <w:rPr>
                <w:highlight w:val="yellow"/>
              </w:rPr>
            </w:pPr>
          </w:p>
          <w:p w14:paraId="51E51B53" w14:textId="77777777" w:rsidR="003475E0" w:rsidRPr="007F70B7" w:rsidRDefault="003475E0" w:rsidP="00674098">
            <w:pPr>
              <w:pStyle w:val="a9"/>
              <w:jc w:val="both"/>
              <w:rPr>
                <w:highlight w:val="yellow"/>
              </w:rPr>
            </w:pPr>
          </w:p>
        </w:tc>
        <w:tc>
          <w:tcPr>
            <w:tcW w:w="5953" w:type="dxa"/>
          </w:tcPr>
          <w:p w14:paraId="5D562AE6" w14:textId="77777777" w:rsidR="00C34622" w:rsidRPr="008A70BB" w:rsidRDefault="00C34622" w:rsidP="00C34622">
            <w:pPr>
              <w:pStyle w:val="a9"/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A70BB">
              <w:rPr>
                <w:rFonts w:ascii="Times New Roman" w:hAnsi="Times New Roman"/>
                <w:color w:val="auto"/>
                <w:szCs w:val="24"/>
              </w:rPr>
              <w:t>УТВЕРЖДЕНО</w:t>
            </w:r>
          </w:p>
          <w:p w14:paraId="4DB89B09" w14:textId="77777777" w:rsidR="00C34622" w:rsidRPr="008A70BB" w:rsidRDefault="008A70BB" w:rsidP="00C34622">
            <w:pPr>
              <w:pStyle w:val="a9"/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A70BB">
              <w:rPr>
                <w:rFonts w:ascii="Times New Roman" w:hAnsi="Times New Roman"/>
                <w:color w:val="auto"/>
                <w:szCs w:val="24"/>
              </w:rPr>
              <w:t>Председателем Правления</w:t>
            </w:r>
          </w:p>
          <w:p w14:paraId="3E208E2C" w14:textId="77777777" w:rsidR="00C34622" w:rsidRPr="008A70BB" w:rsidRDefault="00C34622" w:rsidP="00C34622">
            <w:pPr>
              <w:pStyle w:val="a9"/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A70BB">
              <w:rPr>
                <w:rFonts w:ascii="Times New Roman" w:hAnsi="Times New Roman"/>
                <w:color w:val="auto"/>
                <w:szCs w:val="24"/>
              </w:rPr>
              <w:t>АО Банк «Развитие-Столица»</w:t>
            </w:r>
          </w:p>
          <w:p w14:paraId="01FB0907" w14:textId="12D78021" w:rsidR="00C34622" w:rsidRPr="002E3BEC" w:rsidRDefault="00C34622" w:rsidP="00C34622">
            <w:pPr>
              <w:pStyle w:val="a9"/>
              <w:jc w:val="right"/>
              <w:rPr>
                <w:rFonts w:ascii="Times New Roman" w:hAnsi="Times New Roman"/>
                <w:color w:val="FF0000"/>
                <w:szCs w:val="24"/>
              </w:rPr>
            </w:pPr>
            <w:r w:rsidRPr="005C14A2">
              <w:rPr>
                <w:rFonts w:ascii="Times New Roman" w:hAnsi="Times New Roman"/>
                <w:color w:val="auto"/>
                <w:szCs w:val="24"/>
              </w:rPr>
              <w:t>П</w:t>
            </w:r>
            <w:r w:rsidR="00D675F2" w:rsidRPr="005C14A2">
              <w:rPr>
                <w:rFonts w:ascii="Times New Roman" w:hAnsi="Times New Roman"/>
                <w:color w:val="auto"/>
                <w:szCs w:val="24"/>
              </w:rPr>
              <w:t xml:space="preserve">риказом № </w:t>
            </w:r>
            <w:r w:rsidR="001C101E" w:rsidRPr="005C14A2">
              <w:rPr>
                <w:rFonts w:ascii="Times New Roman" w:hAnsi="Times New Roman"/>
                <w:color w:val="auto"/>
                <w:szCs w:val="24"/>
              </w:rPr>
              <w:t>180</w:t>
            </w:r>
            <w:r w:rsidR="00B95A6E" w:rsidRPr="005C14A2">
              <w:rPr>
                <w:rFonts w:ascii="Times New Roman" w:hAnsi="Times New Roman"/>
                <w:color w:val="auto"/>
                <w:szCs w:val="24"/>
                <w:lang w:val="en-US"/>
              </w:rPr>
              <w:t>6</w:t>
            </w:r>
            <w:r w:rsidR="001C101E" w:rsidRPr="005C14A2">
              <w:rPr>
                <w:rFonts w:ascii="Times New Roman" w:hAnsi="Times New Roman"/>
                <w:color w:val="auto"/>
                <w:szCs w:val="24"/>
              </w:rPr>
              <w:t>01</w:t>
            </w:r>
            <w:r w:rsidR="008A70BB" w:rsidRPr="005C14A2">
              <w:rPr>
                <w:rFonts w:ascii="Times New Roman" w:hAnsi="Times New Roman"/>
                <w:color w:val="auto"/>
                <w:szCs w:val="24"/>
              </w:rPr>
              <w:t>/</w:t>
            </w:r>
            <w:proofErr w:type="spellStart"/>
            <w:r w:rsidR="008A70BB" w:rsidRPr="005C14A2">
              <w:rPr>
                <w:rFonts w:ascii="Times New Roman" w:hAnsi="Times New Roman"/>
                <w:color w:val="auto"/>
                <w:szCs w:val="24"/>
              </w:rPr>
              <w:t>орг</w:t>
            </w:r>
            <w:proofErr w:type="spellEnd"/>
            <w:r w:rsidR="008A70BB" w:rsidRPr="005C14A2">
              <w:rPr>
                <w:rFonts w:ascii="Times New Roman" w:hAnsi="Times New Roman"/>
                <w:color w:val="auto"/>
                <w:szCs w:val="24"/>
              </w:rPr>
              <w:t xml:space="preserve"> от </w:t>
            </w:r>
            <w:r w:rsidR="001C101E" w:rsidRPr="005C14A2">
              <w:rPr>
                <w:rFonts w:ascii="Times New Roman" w:hAnsi="Times New Roman"/>
                <w:color w:val="auto"/>
                <w:szCs w:val="24"/>
              </w:rPr>
              <w:t>18</w:t>
            </w:r>
            <w:r w:rsidR="008A70BB" w:rsidRPr="005C14A2">
              <w:rPr>
                <w:rFonts w:ascii="Times New Roman" w:hAnsi="Times New Roman"/>
                <w:color w:val="auto"/>
                <w:szCs w:val="24"/>
              </w:rPr>
              <w:t>.</w:t>
            </w:r>
            <w:r w:rsidR="00D675F2" w:rsidRPr="005C14A2">
              <w:rPr>
                <w:rFonts w:ascii="Times New Roman" w:hAnsi="Times New Roman"/>
                <w:color w:val="auto"/>
                <w:szCs w:val="24"/>
              </w:rPr>
              <w:t>0</w:t>
            </w:r>
            <w:r w:rsidR="00B95A6E" w:rsidRPr="005C14A2">
              <w:rPr>
                <w:rFonts w:ascii="Times New Roman" w:hAnsi="Times New Roman"/>
                <w:color w:val="auto"/>
                <w:szCs w:val="24"/>
                <w:lang w:val="en-US"/>
              </w:rPr>
              <w:t>6</w:t>
            </w:r>
            <w:r w:rsidR="008A70BB" w:rsidRPr="005C14A2">
              <w:rPr>
                <w:rFonts w:ascii="Times New Roman" w:hAnsi="Times New Roman"/>
                <w:color w:val="auto"/>
                <w:szCs w:val="24"/>
              </w:rPr>
              <w:t>.202</w:t>
            </w:r>
            <w:r w:rsidR="00B95A6E" w:rsidRPr="005C14A2">
              <w:rPr>
                <w:rFonts w:ascii="Times New Roman" w:hAnsi="Times New Roman"/>
                <w:color w:val="auto"/>
                <w:szCs w:val="24"/>
                <w:lang w:val="en-US"/>
              </w:rPr>
              <w:t>6</w:t>
            </w:r>
            <w:r w:rsidR="008A70BB" w:rsidRPr="005C14A2">
              <w:rPr>
                <w:rFonts w:ascii="Times New Roman" w:hAnsi="Times New Roman"/>
                <w:color w:val="auto"/>
                <w:szCs w:val="24"/>
              </w:rPr>
              <w:t>г.</w:t>
            </w:r>
          </w:p>
          <w:p w14:paraId="1695F942" w14:textId="77777777" w:rsidR="00C34622" w:rsidRPr="00B142FB" w:rsidRDefault="00974C9A" w:rsidP="00C34622">
            <w:pPr>
              <w:pStyle w:val="a9"/>
              <w:jc w:val="right"/>
              <w:rPr>
                <w:b w:val="0"/>
                <w:i/>
                <w:szCs w:val="24"/>
              </w:rPr>
            </w:pPr>
            <w:r w:rsidRPr="008A70BB">
              <w:rPr>
                <w:rFonts w:ascii="Times New Roman" w:hAnsi="Times New Roman"/>
                <w:color w:val="auto"/>
                <w:szCs w:val="24"/>
                <w:highlight w:val="yellow"/>
              </w:rPr>
              <w:t xml:space="preserve"> </w:t>
            </w:r>
          </w:p>
          <w:p w14:paraId="128816CC" w14:textId="77777777" w:rsidR="00C34622" w:rsidRPr="00B142FB" w:rsidRDefault="00C34622" w:rsidP="00C34622">
            <w:pPr>
              <w:pStyle w:val="a9"/>
              <w:jc w:val="right"/>
              <w:rPr>
                <w:b w:val="0"/>
                <w:i/>
                <w:szCs w:val="24"/>
              </w:rPr>
            </w:pPr>
            <w:bookmarkStart w:id="0" w:name="_GoBack"/>
            <w:bookmarkEnd w:id="0"/>
          </w:p>
        </w:tc>
      </w:tr>
    </w:tbl>
    <w:p w14:paraId="57CB8529" w14:textId="77777777" w:rsidR="00C34622" w:rsidRDefault="00C34622" w:rsidP="00D177E0">
      <w:pPr>
        <w:autoSpaceDE w:val="0"/>
        <w:autoSpaceDN w:val="0"/>
        <w:adjustRightInd w:val="0"/>
        <w:ind w:firstLine="700"/>
        <w:jc w:val="right"/>
        <w:rPr>
          <w:color w:val="000000"/>
          <w:sz w:val="28"/>
          <w:szCs w:val="28"/>
        </w:rPr>
      </w:pPr>
    </w:p>
    <w:p w14:paraId="35C05248" w14:textId="77777777" w:rsidR="00C52991" w:rsidRPr="00D177E0" w:rsidRDefault="00C52991" w:rsidP="00D177E0">
      <w:pPr>
        <w:autoSpaceDE w:val="0"/>
        <w:autoSpaceDN w:val="0"/>
        <w:adjustRightInd w:val="0"/>
        <w:ind w:firstLine="700"/>
        <w:jc w:val="right"/>
        <w:rPr>
          <w:color w:val="000000"/>
          <w:sz w:val="28"/>
          <w:szCs w:val="28"/>
        </w:rPr>
      </w:pPr>
    </w:p>
    <w:p w14:paraId="2E216C93" w14:textId="77777777" w:rsidR="005C2D99" w:rsidRDefault="00D177E0" w:rsidP="005C2D9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177E0">
        <w:rPr>
          <w:b/>
          <w:bCs/>
          <w:color w:val="000000"/>
          <w:sz w:val="28"/>
          <w:szCs w:val="28"/>
        </w:rPr>
        <w:t>ПОРЯДОК ПРЕДОСТАВЛЕНИЯ ИНФОРМАЦИИ</w:t>
      </w:r>
    </w:p>
    <w:p w14:paraId="534F03C4" w14:textId="77777777" w:rsidR="00DB0D50" w:rsidRDefault="00D177E0" w:rsidP="005C2D9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177E0">
        <w:rPr>
          <w:b/>
          <w:bCs/>
          <w:color w:val="000000"/>
          <w:sz w:val="28"/>
          <w:szCs w:val="28"/>
        </w:rPr>
        <w:t xml:space="preserve">И ДОКУМЕНТОВ </w:t>
      </w:r>
      <w:r w:rsidR="005C2D99">
        <w:rPr>
          <w:b/>
          <w:bCs/>
          <w:color w:val="000000"/>
          <w:sz w:val="28"/>
          <w:szCs w:val="28"/>
        </w:rPr>
        <w:t>И</w:t>
      </w:r>
      <w:r w:rsidRPr="00D177E0">
        <w:rPr>
          <w:b/>
          <w:bCs/>
          <w:color w:val="000000"/>
          <w:sz w:val="28"/>
          <w:szCs w:val="28"/>
        </w:rPr>
        <w:t xml:space="preserve">НВЕСТОРУ </w:t>
      </w:r>
    </w:p>
    <w:p w14:paraId="1950512B" w14:textId="77777777" w:rsidR="00D177E0" w:rsidRDefault="00DB0D50" w:rsidP="005C2D9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D177E0" w:rsidRPr="00D177E0">
        <w:rPr>
          <w:b/>
          <w:bCs/>
          <w:color w:val="000000"/>
          <w:sz w:val="28"/>
          <w:szCs w:val="28"/>
        </w:rPr>
        <w:t xml:space="preserve"> СВЯЗИ С ОБРАЩЕНИЕМ ЦЕННЫХ БУМАГ</w:t>
      </w:r>
    </w:p>
    <w:p w14:paraId="3946A5BB" w14:textId="77777777" w:rsidR="005C2D99" w:rsidRDefault="005C2D99" w:rsidP="00D177E0">
      <w:pPr>
        <w:autoSpaceDE w:val="0"/>
        <w:autoSpaceDN w:val="0"/>
        <w:adjustRightInd w:val="0"/>
        <w:ind w:left="4320"/>
        <w:rPr>
          <w:b/>
          <w:bCs/>
          <w:color w:val="000000"/>
          <w:sz w:val="28"/>
          <w:szCs w:val="28"/>
        </w:rPr>
      </w:pPr>
    </w:p>
    <w:p w14:paraId="6650B8DE" w14:textId="2B02DA88" w:rsidR="005C2D99" w:rsidRPr="002E3BEC" w:rsidRDefault="002E3BEC" w:rsidP="002E3BEC">
      <w:pPr>
        <w:pStyle w:val="aa"/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E3BEC">
        <w:rPr>
          <w:b/>
          <w:bCs/>
          <w:color w:val="000000"/>
        </w:rPr>
        <w:t>Общие положения</w:t>
      </w:r>
    </w:p>
    <w:p w14:paraId="41D116DB" w14:textId="1D01131F" w:rsidR="00D177E0" w:rsidRPr="002E3BEC" w:rsidRDefault="002E3BEC" w:rsidP="002E3BEC">
      <w:pPr>
        <w:autoSpaceDE w:val="0"/>
        <w:autoSpaceDN w:val="0"/>
        <w:adjustRightInd w:val="0"/>
        <w:jc w:val="both"/>
      </w:pPr>
      <w:r>
        <w:t xml:space="preserve">1.1. </w:t>
      </w:r>
      <w:r w:rsidR="00D177E0" w:rsidRPr="002E3BEC">
        <w:t>Настоящий Порядок предоставления информации и документов инвестору в связи с обращением ценных бумаг (далее - «Порядок») разработан в соответствии с требованиями Федерального закона от 05.03.1999</w:t>
      </w:r>
      <w:r>
        <w:t>г.</w:t>
      </w:r>
      <w:r w:rsidR="00D177E0" w:rsidRPr="002E3BEC">
        <w:t xml:space="preserve"> № 46-ФЗ «О защите прав и законных интересов инвесторов на рынке ценных бумаг» и </w:t>
      </w:r>
      <w:r w:rsidR="00B3242D" w:rsidRPr="002E3BEC">
        <w:t>определяет</w:t>
      </w:r>
      <w:r w:rsidR="00D177E0" w:rsidRPr="002E3BEC">
        <w:t xml:space="preserve"> </w:t>
      </w:r>
      <w:r w:rsidR="00B3242D" w:rsidRPr="002E3BEC">
        <w:t>условия предоставления профессиональным участник</w:t>
      </w:r>
      <w:r w:rsidR="00AF2578" w:rsidRPr="002E3BEC">
        <w:t>ом</w:t>
      </w:r>
      <w:r w:rsidR="00D915F0" w:rsidRPr="002E3BEC">
        <w:t xml:space="preserve"> </w:t>
      </w:r>
      <w:r w:rsidR="00AF2578" w:rsidRPr="002E3BEC">
        <w:t xml:space="preserve">- </w:t>
      </w:r>
      <w:r w:rsidR="00B3242D" w:rsidRPr="002E3BEC">
        <w:t xml:space="preserve"> </w:t>
      </w:r>
      <w:r w:rsidR="00AF2578" w:rsidRPr="002E3BEC">
        <w:t>АО Банком «Развитие-Столица</w:t>
      </w:r>
      <w:proofErr w:type="gramStart"/>
      <w:r w:rsidR="00AF2578" w:rsidRPr="002E3BEC">
        <w:t>»</w:t>
      </w:r>
      <w:r w:rsidR="000A5CE5" w:rsidRPr="002E3BEC">
        <w:t>,</w:t>
      </w:r>
      <w:r w:rsidR="00AF2578" w:rsidRPr="002E3BEC">
        <w:t xml:space="preserve">  </w:t>
      </w:r>
      <w:r w:rsidR="00B3242D" w:rsidRPr="002E3BEC">
        <w:t>услуг</w:t>
      </w:r>
      <w:proofErr w:type="gramEnd"/>
      <w:r w:rsidR="00B3242D" w:rsidRPr="002E3BEC">
        <w:t xml:space="preserve"> инвесторам, не являющимся профессиональными участниками рынка ценных бумаг.</w:t>
      </w:r>
    </w:p>
    <w:p w14:paraId="357B1782" w14:textId="22C68CCC" w:rsidR="002E3BEC" w:rsidRDefault="002E3BEC" w:rsidP="002E3BEC">
      <w:pPr>
        <w:autoSpaceDE w:val="0"/>
        <w:autoSpaceDN w:val="0"/>
        <w:adjustRightInd w:val="0"/>
        <w:jc w:val="both"/>
      </w:pPr>
      <w:r>
        <w:t xml:space="preserve">1.2. </w:t>
      </w:r>
      <w:r w:rsidRPr="002E3BEC">
        <w:t xml:space="preserve">Настоящий Порядок не применяется к отношениям, связанным с привлечением денежных средств во вклады банками и иными кредитными организациями, страховыми компаниями и негосударственными пенсионными фондами, обращением депозитных и сберегательных сертификатов кредитных организаций, чеков, векселей и иных ценных бумаг, не являющихся в соответствии с законодательством Российской Федерации эмиссионными ценными бумагами, а также с обращением облигаций Центрального банка Российской Федерации, государственных ценных бумаг Российской Федерации, государственных ценных бумаг субъектов Российской Федерации и ценных бумаг муниципальных образований, за исключением случаев, предусмотренных </w:t>
      </w:r>
      <w:hyperlink r:id="rId6" w:history="1">
        <w:r w:rsidRPr="002E3BEC">
          <w:t>статьей 5.1</w:t>
        </w:r>
      </w:hyperlink>
      <w:r w:rsidRPr="002E3BEC">
        <w:t xml:space="preserve"> Федерального закона</w:t>
      </w:r>
      <w:r>
        <w:t xml:space="preserve"> № 46-ФЗ</w:t>
      </w:r>
      <w:r w:rsidRPr="002E3BEC">
        <w:t>.</w:t>
      </w:r>
    </w:p>
    <w:p w14:paraId="7919455A" w14:textId="7A273D53" w:rsidR="002E3BEC" w:rsidRPr="002E3BEC" w:rsidRDefault="002E3BEC" w:rsidP="002E3BEC">
      <w:pPr>
        <w:autoSpaceDE w:val="0"/>
        <w:autoSpaceDN w:val="0"/>
        <w:adjustRightInd w:val="0"/>
        <w:jc w:val="both"/>
      </w:pPr>
      <w:r>
        <w:t>1.3. Банк при осуществлении деятельности на рынке ценных бумаг действует в соответствии с п.1. ст.4 Федерального закона № 46-ФЗ, не рекламирует и (или) не предлагает неограниченному кругу лиц ценные бумаги эмитентов, не раскрывающих информацию в объеме и порядке, которые предусмотрены законодательством Российской Федерации о ценных бумагах для эмитентов, публично размещающих ценные бумаги.</w:t>
      </w:r>
    </w:p>
    <w:p w14:paraId="0D66B337" w14:textId="3780248F" w:rsidR="00D177E0" w:rsidRPr="001D442D" w:rsidRDefault="002E3BEC" w:rsidP="002F3A74">
      <w:pPr>
        <w:autoSpaceDE w:val="0"/>
        <w:autoSpaceDN w:val="0"/>
        <w:adjustRightInd w:val="0"/>
        <w:spacing w:before="380" w:after="20"/>
        <w:jc w:val="center"/>
        <w:rPr>
          <w:b/>
        </w:rPr>
      </w:pPr>
      <w:r>
        <w:rPr>
          <w:b/>
        </w:rPr>
        <w:t>2</w:t>
      </w:r>
      <w:r w:rsidR="00D177E0" w:rsidRPr="00D915F0">
        <w:rPr>
          <w:b/>
        </w:rPr>
        <w:t xml:space="preserve">. Основные термины и определения </w:t>
      </w:r>
    </w:p>
    <w:p w14:paraId="75A20BA2" w14:textId="1B068700" w:rsidR="00D177E0" w:rsidRDefault="00D177E0" w:rsidP="002E3BEC">
      <w:pPr>
        <w:autoSpaceDE w:val="0"/>
        <w:autoSpaceDN w:val="0"/>
        <w:adjustRightInd w:val="0"/>
        <w:ind w:left="360"/>
        <w:jc w:val="both"/>
      </w:pPr>
      <w:r>
        <w:t xml:space="preserve">Банк — </w:t>
      </w:r>
      <w:r w:rsidR="002F3A74">
        <w:t xml:space="preserve">АО </w:t>
      </w:r>
      <w:r>
        <w:t>Б</w:t>
      </w:r>
      <w:r w:rsidR="002F3A74">
        <w:t>анк</w:t>
      </w:r>
      <w:r>
        <w:t xml:space="preserve"> </w:t>
      </w:r>
      <w:r w:rsidR="002E3BEC">
        <w:t>«</w:t>
      </w:r>
      <w:r w:rsidR="002F3A74">
        <w:t>Развитие-Столица</w:t>
      </w:r>
      <w:r>
        <w:t xml:space="preserve">» </w:t>
      </w:r>
      <w:r w:rsidR="00C11C90" w:rsidRPr="00C11C90">
        <w:t>-</w:t>
      </w:r>
      <w:r>
        <w:t xml:space="preserve"> </w:t>
      </w:r>
      <w:r w:rsidR="00C11C90" w:rsidRPr="00C11C90">
        <w:t>профессиональный участник рынка ценных бумаг.</w:t>
      </w:r>
    </w:p>
    <w:p w14:paraId="64A54527" w14:textId="77777777" w:rsidR="00D177E0" w:rsidRDefault="00D177E0" w:rsidP="002E3BEC">
      <w:pPr>
        <w:autoSpaceDE w:val="0"/>
        <w:autoSpaceDN w:val="0"/>
        <w:adjustRightInd w:val="0"/>
        <w:ind w:firstLine="360"/>
        <w:jc w:val="both"/>
      </w:pPr>
      <w:r>
        <w:t xml:space="preserve">Инвестор — юридическое или физическое лицо, заключившее с Банком договор на брокерское обслуживание или договор купли-продажи эмиссионных ценных бумаг. </w:t>
      </w:r>
    </w:p>
    <w:p w14:paraId="335ADA63" w14:textId="77777777" w:rsidR="00D177E0" w:rsidRDefault="00D177E0" w:rsidP="002E3BEC">
      <w:pPr>
        <w:autoSpaceDE w:val="0"/>
        <w:autoSpaceDN w:val="0"/>
        <w:adjustRightInd w:val="0"/>
        <w:ind w:firstLine="360"/>
        <w:jc w:val="both"/>
      </w:pPr>
      <w:r>
        <w:t xml:space="preserve">Запрос — официальное требование Инвестора о предоставлении информации в целях реализации его прав и законных интересов (не связанных напрямую с их нарушением) составленное и направленное в Банк. </w:t>
      </w:r>
    </w:p>
    <w:p w14:paraId="3F78CD0D" w14:textId="14415E2F" w:rsidR="00D177E0" w:rsidRPr="00D915F0" w:rsidRDefault="002E3BEC" w:rsidP="00D915F0">
      <w:pPr>
        <w:autoSpaceDE w:val="0"/>
        <w:autoSpaceDN w:val="0"/>
        <w:adjustRightInd w:val="0"/>
        <w:spacing w:before="100" w:after="100"/>
        <w:ind w:left="360"/>
        <w:jc w:val="center"/>
        <w:rPr>
          <w:b/>
        </w:rPr>
      </w:pPr>
      <w:r w:rsidRPr="002E3BEC">
        <w:rPr>
          <w:b/>
        </w:rPr>
        <w:t>3</w:t>
      </w:r>
      <w:r w:rsidR="00D177E0" w:rsidRPr="00D915F0">
        <w:rPr>
          <w:b/>
        </w:rPr>
        <w:t>. Состав предоставляемой Инвестору информации</w:t>
      </w:r>
    </w:p>
    <w:p w14:paraId="185F3155" w14:textId="2E03A6D3" w:rsidR="00D177E0" w:rsidRDefault="002E3BEC" w:rsidP="002F3A74">
      <w:pPr>
        <w:autoSpaceDE w:val="0"/>
        <w:autoSpaceDN w:val="0"/>
        <w:adjustRightInd w:val="0"/>
        <w:jc w:val="both"/>
      </w:pPr>
      <w:r w:rsidRPr="002E3BEC">
        <w:t>3</w:t>
      </w:r>
      <w:r w:rsidR="00D177E0">
        <w:t xml:space="preserve">.1. Банк, как профессиональный участник рынка ценных бумаг, предоставляет услуги Инвесторам на рынке ценных бумаг. Инвестор имеет право запросить, а Банк обязан предоставить любую информацию из следующего списка: </w:t>
      </w:r>
    </w:p>
    <w:p w14:paraId="16F459E8" w14:textId="3CC28CA4" w:rsidR="00D177E0" w:rsidRDefault="002E3BEC" w:rsidP="002E3BEC">
      <w:pPr>
        <w:autoSpaceDE w:val="0"/>
        <w:autoSpaceDN w:val="0"/>
        <w:adjustRightInd w:val="0"/>
        <w:jc w:val="both"/>
      </w:pPr>
      <w:r w:rsidRPr="002E3BEC">
        <w:t>3</w:t>
      </w:r>
      <w:r w:rsidR="00D177E0" w:rsidRPr="008502C6">
        <w:t>.1.1</w:t>
      </w:r>
      <w:r w:rsidR="001D442D">
        <w:t>.</w:t>
      </w:r>
      <w:r w:rsidR="00D177E0" w:rsidRPr="008502C6">
        <w:t xml:space="preserve"> копию лицензии профессионального участника рынка ценных бумаг на осуществление брокерской, дилерской, депозитарной деятельности; </w:t>
      </w:r>
    </w:p>
    <w:p w14:paraId="3729CC75" w14:textId="4F3BE856" w:rsidR="00D177E0" w:rsidRPr="008502C6" w:rsidRDefault="002E3BEC" w:rsidP="002E3BEC">
      <w:pPr>
        <w:autoSpaceDE w:val="0"/>
        <w:autoSpaceDN w:val="0"/>
        <w:adjustRightInd w:val="0"/>
        <w:jc w:val="both"/>
      </w:pPr>
      <w:r w:rsidRPr="002E3BEC">
        <w:lastRenderedPageBreak/>
        <w:t>3</w:t>
      </w:r>
      <w:r w:rsidR="00D177E0" w:rsidRPr="008502C6">
        <w:t>.1.2</w:t>
      </w:r>
      <w:r w:rsidR="001D442D">
        <w:t>.</w:t>
      </w:r>
      <w:r w:rsidR="00D177E0" w:rsidRPr="008502C6">
        <w:t xml:space="preserve"> </w:t>
      </w:r>
      <w:r w:rsidR="00C11C90" w:rsidRPr="00973D66">
        <w:t>копию</w:t>
      </w:r>
      <w:r w:rsidR="00C11C90">
        <w:t xml:space="preserve"> документа о государственной регистрации Банка</w:t>
      </w:r>
      <w:r w:rsidR="00D177E0" w:rsidRPr="008502C6">
        <w:t xml:space="preserve">; </w:t>
      </w:r>
    </w:p>
    <w:p w14:paraId="599580AA" w14:textId="4F77F4E7" w:rsidR="00D177E0" w:rsidRDefault="002E3BEC" w:rsidP="002E3BEC">
      <w:pPr>
        <w:autoSpaceDE w:val="0"/>
        <w:autoSpaceDN w:val="0"/>
        <w:adjustRightInd w:val="0"/>
        <w:jc w:val="both"/>
      </w:pPr>
      <w:r w:rsidRPr="002E3BEC">
        <w:t>3</w:t>
      </w:r>
      <w:r w:rsidR="00D177E0" w:rsidRPr="008502C6">
        <w:t>.1.3</w:t>
      </w:r>
      <w:r w:rsidR="001D442D">
        <w:t>.</w:t>
      </w:r>
      <w:r w:rsidR="00D177E0" w:rsidRPr="008502C6">
        <w:t xml:space="preserve"> </w:t>
      </w:r>
      <w:r w:rsidR="00C11C90" w:rsidRPr="008502C6">
        <w:t>сведения об органе, выдавшем Банку лицензии на осуществление профессиональной деятельности на рынке ценных бумаг (его наименование, адрес и телефоны)</w:t>
      </w:r>
      <w:r w:rsidR="00D177E0" w:rsidRPr="008502C6">
        <w:t>;</w:t>
      </w:r>
      <w:r w:rsidR="00D177E0">
        <w:t xml:space="preserve"> </w:t>
      </w:r>
    </w:p>
    <w:p w14:paraId="5775E3A1" w14:textId="09582FB5" w:rsidR="00D177E0" w:rsidRPr="0031505D" w:rsidRDefault="002E3BEC" w:rsidP="002E3BEC">
      <w:pPr>
        <w:autoSpaceDE w:val="0"/>
        <w:autoSpaceDN w:val="0"/>
        <w:adjustRightInd w:val="0"/>
        <w:jc w:val="both"/>
        <w:rPr>
          <w:color w:val="FF0000"/>
        </w:rPr>
      </w:pPr>
      <w:r w:rsidRPr="002E3BEC">
        <w:t>3</w:t>
      </w:r>
      <w:r w:rsidR="00D177E0" w:rsidRPr="002E3BEC">
        <w:t>.1.4. сведения об уставном капитале, размере собственных средств и резервном фонде Банка</w:t>
      </w:r>
      <w:r w:rsidRPr="002E3BEC">
        <w:t>.</w:t>
      </w:r>
      <w:r w:rsidR="00D177E0">
        <w:t xml:space="preserve"> </w:t>
      </w:r>
    </w:p>
    <w:p w14:paraId="60AA8A94" w14:textId="6F826597" w:rsidR="00D177E0" w:rsidRDefault="002E3BEC" w:rsidP="002F3A74">
      <w:pPr>
        <w:autoSpaceDE w:val="0"/>
        <w:autoSpaceDN w:val="0"/>
        <w:adjustRightInd w:val="0"/>
        <w:jc w:val="both"/>
      </w:pPr>
      <w:r w:rsidRPr="002E3BEC">
        <w:t>3</w:t>
      </w:r>
      <w:r w:rsidR="00D177E0">
        <w:t xml:space="preserve">.2. Банк, как профессиональный участник рынка ценных бумаг, при покупке у него Инвестором ценных бумаг, либо при приобретении им ценных бумаг по поручению Инвестора, помимо информации, перечисленной в п. </w:t>
      </w:r>
      <w:r w:rsidRPr="002E3BEC">
        <w:t>3</w:t>
      </w:r>
      <w:r w:rsidR="00D177E0">
        <w:t>.1 настоящего Порядка, обязан предоставить, а Инвестор имеет</w:t>
      </w:r>
      <w:r w:rsidR="007640D9">
        <w:t xml:space="preserve"> </w:t>
      </w:r>
      <w:r w:rsidR="00D177E0">
        <w:t xml:space="preserve">право запросить следующую информацию: </w:t>
      </w:r>
    </w:p>
    <w:p w14:paraId="0993299C" w14:textId="6E2F1750" w:rsidR="00121083" w:rsidRPr="00B87C80" w:rsidRDefault="002E3BEC" w:rsidP="00B87C80">
      <w:pPr>
        <w:autoSpaceDE w:val="0"/>
        <w:autoSpaceDN w:val="0"/>
        <w:adjustRightInd w:val="0"/>
        <w:jc w:val="both"/>
      </w:pPr>
      <w:r w:rsidRPr="002E3BEC">
        <w:t>3</w:t>
      </w:r>
      <w:r w:rsidR="00D177E0">
        <w:t>.2.</w:t>
      </w:r>
      <w:r w:rsidR="00D177E0" w:rsidRPr="00B87C80">
        <w:t>1</w:t>
      </w:r>
      <w:r w:rsidR="001D442D">
        <w:t>.</w:t>
      </w:r>
      <w:r w:rsidR="007640D9">
        <w:t xml:space="preserve"> </w:t>
      </w:r>
      <w:r w:rsidR="00121083" w:rsidRPr="00B87C80">
        <w:t>сведения о регистрации выпуска этих ценных бумаг, в том числе регистрационный номер этого выпуска;</w:t>
      </w:r>
    </w:p>
    <w:p w14:paraId="6DAFF0FA" w14:textId="18623DD1" w:rsidR="00D177E0" w:rsidRDefault="002E3BEC" w:rsidP="000A5CE5">
      <w:pPr>
        <w:autoSpaceDE w:val="0"/>
        <w:autoSpaceDN w:val="0"/>
        <w:adjustRightInd w:val="0"/>
        <w:jc w:val="both"/>
      </w:pPr>
      <w:r w:rsidRPr="002E3BEC">
        <w:t>3</w:t>
      </w:r>
      <w:r w:rsidR="00D177E0">
        <w:t>.2.2</w:t>
      </w:r>
      <w:r w:rsidR="001D442D">
        <w:t>.</w:t>
      </w:r>
      <w:r w:rsidR="00D177E0">
        <w:t xml:space="preserve"> сведения, содержащиеся в решении о выпуске этих ценных бумаг и проспекте </w:t>
      </w:r>
      <w:r w:rsidR="00EA1342">
        <w:t>этих ценных бумаг</w:t>
      </w:r>
      <w:r w:rsidR="00D177E0">
        <w:t xml:space="preserve">; </w:t>
      </w:r>
    </w:p>
    <w:p w14:paraId="11BCA694" w14:textId="31CC598C" w:rsidR="00121083" w:rsidRDefault="002E3BEC" w:rsidP="00CA1E37">
      <w:pPr>
        <w:autoSpaceDE w:val="0"/>
        <w:autoSpaceDN w:val="0"/>
        <w:adjustRightInd w:val="0"/>
        <w:jc w:val="both"/>
      </w:pPr>
      <w:r w:rsidRPr="002E3BEC">
        <w:t>3</w:t>
      </w:r>
      <w:r w:rsidR="00D177E0" w:rsidRPr="00B87C80">
        <w:t>.2.</w:t>
      </w:r>
      <w:r w:rsidR="00973D66">
        <w:t>3</w:t>
      </w:r>
      <w:r w:rsidR="001D442D">
        <w:t>.</w:t>
      </w:r>
      <w:r w:rsidR="007640D9">
        <w:t xml:space="preserve"> </w:t>
      </w:r>
      <w:r w:rsidR="00121083" w:rsidRPr="00B87C80">
        <w:t>сведения о кредитных рейтингах, присвоенных кредитным рейтинговым агентством или иностранным кредитным рейтинговым агентством, осуществляющим в соответствии со своим личным законом рейтинговую деятельность, этим ценным бумагам, эмитенту этих ценных бумаг (в случае присвоения кредитного рейтинга этим ценным бумагам, кредитного рейтинга эмитенту этих ценных бумаг), а также сведения об их подтверждении, пересмотре или отзыве.</w:t>
      </w:r>
    </w:p>
    <w:p w14:paraId="0D4F23B5" w14:textId="70574DEE" w:rsidR="00D177E0" w:rsidRPr="008502C6" w:rsidRDefault="002E3BEC" w:rsidP="002E3BEC">
      <w:pPr>
        <w:autoSpaceDE w:val="0"/>
        <w:autoSpaceDN w:val="0"/>
        <w:adjustRightInd w:val="0"/>
        <w:jc w:val="both"/>
      </w:pPr>
      <w:r w:rsidRPr="002E3BEC">
        <w:t>3</w:t>
      </w:r>
      <w:r w:rsidR="00D177E0" w:rsidRPr="008502C6">
        <w:t xml:space="preserve">.3. При </w:t>
      </w:r>
      <w:r w:rsidR="00973D66">
        <w:t>отчуждении</w:t>
      </w:r>
      <w:r w:rsidR="00D177E0" w:rsidRPr="008502C6">
        <w:t xml:space="preserve"> Инвестором ценных бумаг по договору купли-продажи или при продаже эмиссионных ценных бумаг Банком по поручению Инвестора (по договору на брокерское обслуживание, по договору на дилерское обслуживание), помимо информации, перечисленной в п. </w:t>
      </w:r>
      <w:r w:rsidRPr="002E3BEC">
        <w:t>3</w:t>
      </w:r>
      <w:r w:rsidR="00D177E0" w:rsidRPr="008502C6">
        <w:t>.1</w:t>
      </w:r>
      <w:r w:rsidR="001D442D">
        <w:t>.</w:t>
      </w:r>
      <w:r w:rsidR="00D177E0" w:rsidRPr="008502C6">
        <w:t xml:space="preserve"> настоящего Порядка, Инвестор имеет право запросить, а Банк обязан предоставить следующую информацию: </w:t>
      </w:r>
    </w:p>
    <w:p w14:paraId="3019831D" w14:textId="511E1AF3" w:rsidR="00DB5C71" w:rsidRPr="008502C6" w:rsidRDefault="002E3BEC" w:rsidP="000A5CE5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2E3BEC">
        <w:t>3</w:t>
      </w:r>
      <w:r w:rsidR="00D177E0" w:rsidRPr="008502C6">
        <w:t>.3.1</w:t>
      </w:r>
      <w:r w:rsidR="001D442D">
        <w:t>.</w:t>
      </w:r>
      <w:r w:rsidR="00D177E0" w:rsidRPr="008502C6">
        <w:t xml:space="preserve"> сведения о </w:t>
      </w:r>
      <w:r w:rsidR="00DB5C71" w:rsidRPr="008502C6">
        <w:t>ценах этих ценных бумаг на организованных торгах в течение шести недель, предшествовавших дате предъявления инвестором требования о предоставлении информации, если эти ценные бумаги включены в котировальный список биржи, либо сведения об отсутствии этих ценных бумаг в котировальных списках бирж;</w:t>
      </w:r>
    </w:p>
    <w:p w14:paraId="5DC7B764" w14:textId="1BF78DAB" w:rsidR="00D177E0" w:rsidRDefault="002E3BEC" w:rsidP="000A5CE5">
      <w:pPr>
        <w:autoSpaceDE w:val="0"/>
        <w:autoSpaceDN w:val="0"/>
        <w:adjustRightInd w:val="0"/>
        <w:jc w:val="both"/>
      </w:pPr>
      <w:r w:rsidRPr="002E3BEC">
        <w:t>3</w:t>
      </w:r>
      <w:r w:rsidR="00D177E0" w:rsidRPr="008502C6">
        <w:t>.3.2</w:t>
      </w:r>
      <w:r w:rsidR="001D442D">
        <w:t>.</w:t>
      </w:r>
      <w:r w:rsidR="00D177E0" w:rsidRPr="008502C6">
        <w:t xml:space="preserve"> сведения о ценах, по которым эти ценные бумаги покупались и продавались Банком в течение шести недель, предшествовавших дате предъявления Инвестором требования о предоставлении информации, либо сведения о том, что такие операции не проводились.</w:t>
      </w:r>
      <w:r w:rsidR="00D177E0">
        <w:t xml:space="preserve"> </w:t>
      </w:r>
    </w:p>
    <w:p w14:paraId="130F26B3" w14:textId="77777777" w:rsidR="002E3BEC" w:rsidRDefault="002E3BEC" w:rsidP="002E3BEC">
      <w:pPr>
        <w:autoSpaceDE w:val="0"/>
        <w:autoSpaceDN w:val="0"/>
        <w:adjustRightInd w:val="0"/>
        <w:jc w:val="both"/>
        <w:outlineLvl w:val="0"/>
        <w:rPr>
          <w:b/>
          <w:bCs/>
        </w:rPr>
      </w:pPr>
    </w:p>
    <w:p w14:paraId="124326E6" w14:textId="27B1A7F8" w:rsidR="002E3BEC" w:rsidRDefault="002E3BEC" w:rsidP="002E3BE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E3BEC">
        <w:rPr>
          <w:b/>
          <w:bCs/>
        </w:rPr>
        <w:t>4</w:t>
      </w:r>
      <w:r>
        <w:rPr>
          <w:b/>
          <w:bCs/>
        </w:rPr>
        <w:t>.</w:t>
      </w:r>
      <w:r w:rsidRPr="002E3BEC">
        <w:rPr>
          <w:b/>
          <w:bCs/>
        </w:rPr>
        <w:t xml:space="preserve"> </w:t>
      </w:r>
      <w:r>
        <w:rPr>
          <w:b/>
          <w:bCs/>
        </w:rPr>
        <w:t>Информирование физических лиц об ограничениях на рынке ценных бумаг</w:t>
      </w:r>
    </w:p>
    <w:p w14:paraId="7CAE766C" w14:textId="50F73A07" w:rsidR="002E3BEC" w:rsidRDefault="002E3BEC" w:rsidP="002E3BEC">
      <w:pPr>
        <w:autoSpaceDE w:val="0"/>
        <w:autoSpaceDN w:val="0"/>
        <w:adjustRightInd w:val="0"/>
        <w:jc w:val="both"/>
      </w:pPr>
      <w:bookmarkStart w:id="1" w:name="Par4"/>
      <w:bookmarkEnd w:id="1"/>
      <w:r>
        <w:t>4.1. Банк обращает внимание Инвесторов, что в соответствии со ст.5 и 5.1 Федерального закона № 46-ФЗ в Российской Федерации действуют ограничения, связанные с привлечением инвестиций физических лиц, в том числе:</w:t>
      </w:r>
    </w:p>
    <w:p w14:paraId="6D383898" w14:textId="77777777" w:rsidR="002E3BEC" w:rsidRPr="002E3BEC" w:rsidRDefault="002E3BEC" w:rsidP="002E3BEC">
      <w:pPr>
        <w:autoSpaceDE w:val="0"/>
        <w:autoSpaceDN w:val="0"/>
        <w:adjustRightInd w:val="0"/>
        <w:jc w:val="both"/>
      </w:pPr>
      <w:r>
        <w:t xml:space="preserve">4.1.1. Привлечение инвестиций физических лиц путем заключения договоров с физическими лицами на условиях публичной оферты либо в результате направления предложения делать оферту, адресованного неопределенному кругу лиц, допускается только посредством встречного предоставления физическим лицам ценных бумаг, </w:t>
      </w:r>
      <w:r w:rsidRPr="002E3BEC">
        <w:t xml:space="preserve">предусмотренных Федеральным </w:t>
      </w:r>
      <w:hyperlink r:id="rId7" w:history="1">
        <w:r w:rsidRPr="002E3BEC">
          <w:t>законом</w:t>
        </w:r>
      </w:hyperlink>
      <w:r w:rsidRPr="002E3BEC">
        <w:t xml:space="preserve"> № 39-ФЗ «О рынке ценных бумаг», либо в случае, если право лиц, привлекающих инвестиции, на привлечение инвестиций физических лиц предусмотрено федеральными законами.</w:t>
      </w:r>
    </w:p>
    <w:p w14:paraId="269DBBF9" w14:textId="77777777" w:rsidR="002E3BEC" w:rsidRDefault="002E3BEC" w:rsidP="002E3BEC">
      <w:pPr>
        <w:autoSpaceDE w:val="0"/>
        <w:autoSpaceDN w:val="0"/>
        <w:adjustRightInd w:val="0"/>
        <w:jc w:val="both"/>
      </w:pPr>
      <w:r w:rsidRPr="002E3BEC">
        <w:t xml:space="preserve">4.1.2. Оказание услуг по привлечению инвестиций физических лиц на условиях публичной оферты либо в результате направления предложения делать оферту, адресованного неопределенному кругу лиц, допускается только кредитными организациями, </w:t>
      </w:r>
      <w:proofErr w:type="spellStart"/>
      <w:r w:rsidRPr="002E3BEC">
        <w:t>некредитными</w:t>
      </w:r>
      <w:proofErr w:type="spellEnd"/>
      <w:r w:rsidRPr="002E3BEC">
        <w:t xml:space="preserve"> финансовыми организациями в соответствии с федеральными законами, регулирующими их деятельность, а также лицами, уполномоченными действовать от имени и (или) в интересах лиц, которые вправе привлекать инвестиции в соответствии с </w:t>
      </w:r>
      <w:hyperlink w:anchor="Par4" w:history="1">
        <w:r w:rsidRPr="002E3BEC">
          <w:t>п.1</w:t>
        </w:r>
      </w:hyperlink>
      <w:r w:rsidRPr="002E3BEC">
        <w:t xml:space="preserve"> ст.5.1. Федерального закона № 46-ФЗ.</w:t>
      </w:r>
    </w:p>
    <w:p w14:paraId="40ADC9CD" w14:textId="77777777" w:rsidR="002E3BEC" w:rsidRDefault="002E3BEC" w:rsidP="002E3BEC">
      <w:pPr>
        <w:autoSpaceDE w:val="0"/>
        <w:autoSpaceDN w:val="0"/>
        <w:adjustRightInd w:val="0"/>
        <w:jc w:val="both"/>
      </w:pPr>
      <w:r>
        <w:t xml:space="preserve">4.1.3. Ограничения, </w:t>
      </w:r>
      <w:r w:rsidRPr="002E3BEC">
        <w:t xml:space="preserve">предусмотренные </w:t>
      </w:r>
      <w:hyperlink w:anchor="Par4" w:history="1">
        <w:r w:rsidRPr="002E3BEC">
          <w:t>п.1</w:t>
        </w:r>
      </w:hyperlink>
      <w:r w:rsidRPr="002E3BEC">
        <w:t xml:space="preserve"> ст.5.1. Федерального закона № 46-ФЗ, не применяются к отношениям, связанным с привлечением инвестиций кредитными организациями и </w:t>
      </w:r>
      <w:proofErr w:type="spellStart"/>
      <w:r w:rsidRPr="002E3BEC">
        <w:t>некредитными</w:t>
      </w:r>
      <w:proofErr w:type="spellEnd"/>
      <w:r w:rsidRPr="002E3BEC">
        <w:t xml:space="preserve"> финансовыми организациями в соответствии с федеральными законами, регулирующими их деятельность, выпуском и обращением цифровых прав в соответствии с Федеральным </w:t>
      </w:r>
      <w:hyperlink r:id="rId8" w:history="1">
        <w:r w:rsidRPr="002E3BEC">
          <w:t>законом</w:t>
        </w:r>
      </w:hyperlink>
      <w:r w:rsidRPr="002E3BEC">
        <w:t xml:space="preserve"> № 259-ФЗ «О цифровых финансовых активах, цифровой валюте и о внесении изменений в отдельные законодательные акты Российской Федерации», совершением сделок с использованием финансовой платформы в соответствии с Федеральным </w:t>
      </w:r>
      <w:hyperlink r:id="rId9" w:history="1">
        <w:r w:rsidRPr="002E3BEC">
          <w:t>законом</w:t>
        </w:r>
      </w:hyperlink>
      <w:r w:rsidRPr="002E3BEC">
        <w:t xml:space="preserve"> № 211-ФЗ «О совершении финансовых сделок с использованием финансовой платформы», привлечением инвестиций с использованием инвестиционных платформ в соответствии с Федеральным </w:t>
      </w:r>
      <w:hyperlink r:id="rId10" w:history="1">
        <w:r w:rsidRPr="002E3BEC">
          <w:t>законом</w:t>
        </w:r>
      </w:hyperlink>
      <w:r w:rsidRPr="002E3BEC">
        <w:t xml:space="preserve"> № 259-ФЗ «О привлечении </w:t>
      </w:r>
      <w:r w:rsidRPr="002E3BEC">
        <w:lastRenderedPageBreak/>
        <w:t>инвестиций с использованием инвестиционных платформ и о вне</w:t>
      </w:r>
      <w:r>
        <w:t>сении изменений в отдельные законодательные акты Российской Федерации».</w:t>
      </w:r>
    </w:p>
    <w:p w14:paraId="3321B55E" w14:textId="429130CD" w:rsidR="002E3BEC" w:rsidRDefault="002E3BEC" w:rsidP="002E3BEC">
      <w:pPr>
        <w:autoSpaceDE w:val="0"/>
        <w:autoSpaceDN w:val="0"/>
        <w:adjustRightInd w:val="0"/>
        <w:jc w:val="both"/>
      </w:pPr>
      <w:r>
        <w:t>4.2. Под инвестициями понимаются денежные средства, ценные бумаги, иное имущество, в том числе имущественные права и иные права, имеющие денежную оценку, вкладываемые в объекты предпринимательской и (или) иной деятельности в целях получения дохода.</w:t>
      </w:r>
    </w:p>
    <w:p w14:paraId="2F37A274" w14:textId="76606C20" w:rsidR="002E3BEC" w:rsidRDefault="002E3BEC" w:rsidP="002E3BEC">
      <w:pPr>
        <w:autoSpaceDE w:val="0"/>
        <w:autoSpaceDN w:val="0"/>
        <w:adjustRightInd w:val="0"/>
        <w:ind w:firstLine="540"/>
        <w:jc w:val="both"/>
      </w:pPr>
      <w:r>
        <w:t>Под оказанием услуг по привлечению инвестиций физических лиц понимается совершение юридических и (или) фактических действий от имени и (или) в интересах лица, привлекающего инвестиции, в результате которых привлекаются инвестиции физических лиц, в том числе предложение физическим лицам заключить договор и (или) заключение договора.</w:t>
      </w:r>
    </w:p>
    <w:p w14:paraId="51D35896" w14:textId="6CB19CAC" w:rsidR="00D177E0" w:rsidRPr="00973D66" w:rsidRDefault="002E3BEC" w:rsidP="00D177E0">
      <w:pPr>
        <w:autoSpaceDE w:val="0"/>
        <w:autoSpaceDN w:val="0"/>
        <w:adjustRightInd w:val="0"/>
        <w:spacing w:before="380" w:after="20"/>
        <w:jc w:val="center"/>
        <w:rPr>
          <w:b/>
        </w:rPr>
      </w:pPr>
      <w:r>
        <w:rPr>
          <w:b/>
        </w:rPr>
        <w:t>5</w:t>
      </w:r>
      <w:r w:rsidR="00D177E0" w:rsidRPr="00973D66">
        <w:rPr>
          <w:b/>
        </w:rPr>
        <w:t>. Порядок составления и направления Запроса Инвестором</w:t>
      </w:r>
    </w:p>
    <w:p w14:paraId="33FA437E" w14:textId="1599B7C1" w:rsidR="00D177E0" w:rsidRPr="00973D66" w:rsidRDefault="002E3BEC" w:rsidP="002E3BEC">
      <w:pPr>
        <w:autoSpaceDE w:val="0"/>
        <w:autoSpaceDN w:val="0"/>
        <w:adjustRightInd w:val="0"/>
        <w:jc w:val="both"/>
      </w:pPr>
      <w:r>
        <w:t>5</w:t>
      </w:r>
      <w:r w:rsidR="00D177E0" w:rsidRPr="00973D66">
        <w:t xml:space="preserve">.1. Информация, перечисленная в </w:t>
      </w:r>
      <w:proofErr w:type="spellStart"/>
      <w:r w:rsidR="00D177E0" w:rsidRPr="00973D66">
        <w:t>п.п</w:t>
      </w:r>
      <w:proofErr w:type="spellEnd"/>
      <w:r w:rsidR="00D177E0" w:rsidRPr="00973D66">
        <w:t xml:space="preserve">. </w:t>
      </w:r>
      <w:r>
        <w:t>3</w:t>
      </w:r>
      <w:r w:rsidR="00D177E0" w:rsidRPr="00973D66">
        <w:t>.1—</w:t>
      </w:r>
      <w:r>
        <w:t>3</w:t>
      </w:r>
      <w:r w:rsidR="00D177E0" w:rsidRPr="00973D66">
        <w:t>.3</w:t>
      </w:r>
      <w:r w:rsidR="002A4E15" w:rsidRPr="00973D66">
        <w:t xml:space="preserve"> настоящего Порядка</w:t>
      </w:r>
      <w:r w:rsidR="00D177E0" w:rsidRPr="00973D66">
        <w:t>, предос</w:t>
      </w:r>
      <w:r w:rsidR="00973D66" w:rsidRPr="00973D66">
        <w:t xml:space="preserve">тавляется по Запросу Инвестора в соответствии с «Положением о порядке рассмотрения Банком обращений получателей финансовых услуг, связанных с осуществлением профессиональной деятельности на рынке ценных бумаг» размещенном на сайте Банка </w:t>
      </w:r>
      <w:r w:rsidR="00973D66" w:rsidRPr="00973D66">
        <w:rPr>
          <w:lang w:val="en-US"/>
        </w:rPr>
        <w:t>www</w:t>
      </w:r>
      <w:r w:rsidR="00973D66" w:rsidRPr="00973D66">
        <w:t>.</w:t>
      </w:r>
      <w:proofErr w:type="spellStart"/>
      <w:r w:rsidR="00973D66" w:rsidRPr="00973D66">
        <w:rPr>
          <w:lang w:val="en-US"/>
        </w:rPr>
        <w:t>dcapital</w:t>
      </w:r>
      <w:proofErr w:type="spellEnd"/>
      <w:r w:rsidR="00973D66" w:rsidRPr="00973D66">
        <w:t>.</w:t>
      </w:r>
      <w:proofErr w:type="spellStart"/>
      <w:r w:rsidR="00973D66" w:rsidRPr="00973D66">
        <w:rPr>
          <w:lang w:val="en-US"/>
        </w:rPr>
        <w:t>ru</w:t>
      </w:r>
      <w:proofErr w:type="spellEnd"/>
    </w:p>
    <w:p w14:paraId="22FBF9D0" w14:textId="21CA62FA" w:rsidR="00B3242D" w:rsidRPr="00973D66" w:rsidRDefault="00973D66" w:rsidP="00D177E0">
      <w:pPr>
        <w:autoSpaceDE w:val="0"/>
        <w:autoSpaceDN w:val="0"/>
        <w:adjustRightInd w:val="0"/>
        <w:spacing w:before="380"/>
        <w:jc w:val="center"/>
        <w:rPr>
          <w:b/>
        </w:rPr>
      </w:pPr>
      <w:r w:rsidRPr="00D675F2">
        <w:rPr>
          <w:b/>
        </w:rPr>
        <w:t xml:space="preserve">             </w:t>
      </w:r>
      <w:r w:rsidR="002E3BEC">
        <w:rPr>
          <w:b/>
        </w:rPr>
        <w:t>6</w:t>
      </w:r>
      <w:r w:rsidR="00D177E0" w:rsidRPr="00973D66">
        <w:rPr>
          <w:b/>
        </w:rPr>
        <w:t xml:space="preserve">. Порядок доведения настоящего Порядка до сведения Инвесторов </w:t>
      </w:r>
    </w:p>
    <w:p w14:paraId="37AB6D84" w14:textId="02D37AFD" w:rsidR="009D2438" w:rsidRDefault="002E3BEC" w:rsidP="002E3BEC">
      <w:pPr>
        <w:autoSpaceDE w:val="0"/>
        <w:autoSpaceDN w:val="0"/>
        <w:adjustRightInd w:val="0"/>
        <w:spacing w:after="100"/>
        <w:jc w:val="both"/>
      </w:pPr>
      <w:r>
        <w:t>6</w:t>
      </w:r>
      <w:r w:rsidR="00D177E0">
        <w:t xml:space="preserve">.1. </w:t>
      </w:r>
      <w:r w:rsidR="009D2438">
        <w:t xml:space="preserve">Настоящий Порядок размещается на </w:t>
      </w:r>
      <w:proofErr w:type="spellStart"/>
      <w:r w:rsidR="009D2438">
        <w:t>web</w:t>
      </w:r>
      <w:proofErr w:type="spellEnd"/>
      <w:r w:rsidR="009D2438">
        <w:t xml:space="preserve">-сайте Банка </w:t>
      </w:r>
      <w:hyperlink r:id="rId11" w:history="1">
        <w:r w:rsidR="00D915F0" w:rsidRPr="0083786A">
          <w:rPr>
            <w:rStyle w:val="a6"/>
          </w:rPr>
          <w:t>www.d</w:t>
        </w:r>
        <w:r w:rsidR="00D915F0" w:rsidRPr="0083786A">
          <w:rPr>
            <w:rStyle w:val="a6"/>
            <w:lang w:val="en-US"/>
          </w:rPr>
          <w:t>capital</w:t>
        </w:r>
        <w:r w:rsidR="00D915F0" w:rsidRPr="0083786A">
          <w:rPr>
            <w:rStyle w:val="a6"/>
          </w:rPr>
          <w:t>.</w:t>
        </w:r>
        <w:proofErr w:type="spellStart"/>
        <w:r w:rsidR="00D915F0" w:rsidRPr="0083786A">
          <w:rPr>
            <w:rStyle w:val="a6"/>
            <w:lang w:val="en-US"/>
          </w:rPr>
          <w:t>ru</w:t>
        </w:r>
        <w:proofErr w:type="spellEnd"/>
      </w:hyperlink>
      <w:r w:rsidR="009D2438" w:rsidRPr="009D2438">
        <w:t xml:space="preserve"> </w:t>
      </w:r>
      <w:r w:rsidR="009D2438">
        <w:t xml:space="preserve">и по желанию Инвестора может быть предоставлен ему сотрудниками Казначейства Банка на бумажном носителе. </w:t>
      </w:r>
    </w:p>
    <w:p w14:paraId="46952955" w14:textId="77777777" w:rsidR="003B3B3B" w:rsidRDefault="003B3B3B" w:rsidP="003F197F">
      <w:pPr>
        <w:autoSpaceDE w:val="0"/>
        <w:autoSpaceDN w:val="0"/>
        <w:adjustRightInd w:val="0"/>
        <w:spacing w:after="100"/>
        <w:jc w:val="both"/>
        <w:rPr>
          <w:color w:val="FF6600"/>
        </w:rPr>
      </w:pPr>
    </w:p>
    <w:p w14:paraId="635F8D8D" w14:textId="77777777" w:rsidR="00A904E3" w:rsidRDefault="00A904E3" w:rsidP="003F197F">
      <w:pPr>
        <w:autoSpaceDE w:val="0"/>
        <w:autoSpaceDN w:val="0"/>
        <w:adjustRightInd w:val="0"/>
        <w:spacing w:after="100"/>
        <w:jc w:val="both"/>
        <w:rPr>
          <w:color w:val="FF6600"/>
        </w:rPr>
      </w:pPr>
    </w:p>
    <w:p w14:paraId="63C634BC" w14:textId="77777777" w:rsidR="00A904E3" w:rsidRDefault="00A904E3" w:rsidP="003F197F">
      <w:pPr>
        <w:autoSpaceDE w:val="0"/>
        <w:autoSpaceDN w:val="0"/>
        <w:adjustRightInd w:val="0"/>
        <w:spacing w:after="100"/>
        <w:jc w:val="both"/>
        <w:rPr>
          <w:color w:val="FF6600"/>
        </w:rPr>
      </w:pPr>
    </w:p>
    <w:p w14:paraId="45E1FA52" w14:textId="77777777" w:rsidR="00D915F0" w:rsidRDefault="00D915F0" w:rsidP="003F197F">
      <w:pPr>
        <w:autoSpaceDE w:val="0"/>
        <w:autoSpaceDN w:val="0"/>
        <w:adjustRightInd w:val="0"/>
        <w:spacing w:after="100"/>
        <w:jc w:val="both"/>
        <w:rPr>
          <w:color w:val="FF6600"/>
        </w:rPr>
      </w:pPr>
    </w:p>
    <w:p w14:paraId="094CF675" w14:textId="77777777" w:rsidR="008D1FE1" w:rsidRDefault="008D1FE1" w:rsidP="00F074FE">
      <w:pPr>
        <w:autoSpaceDE w:val="0"/>
        <w:autoSpaceDN w:val="0"/>
        <w:adjustRightInd w:val="0"/>
        <w:ind w:firstLine="700"/>
        <w:jc w:val="right"/>
      </w:pPr>
    </w:p>
    <w:p w14:paraId="689791BC" w14:textId="77777777" w:rsidR="008D1FE1" w:rsidRDefault="008D1FE1" w:rsidP="00F074FE">
      <w:pPr>
        <w:autoSpaceDE w:val="0"/>
        <w:autoSpaceDN w:val="0"/>
        <w:adjustRightInd w:val="0"/>
        <w:ind w:firstLine="700"/>
        <w:jc w:val="right"/>
      </w:pPr>
    </w:p>
    <w:p w14:paraId="19BED215" w14:textId="77777777" w:rsidR="00C35225" w:rsidRDefault="00C35225" w:rsidP="00F074FE">
      <w:pPr>
        <w:autoSpaceDE w:val="0"/>
        <w:autoSpaceDN w:val="0"/>
        <w:adjustRightInd w:val="0"/>
        <w:ind w:firstLine="700"/>
        <w:jc w:val="right"/>
      </w:pPr>
    </w:p>
    <w:p w14:paraId="488E41FA" w14:textId="77777777" w:rsidR="008D1FE1" w:rsidRDefault="008D1FE1" w:rsidP="00F074FE">
      <w:pPr>
        <w:autoSpaceDE w:val="0"/>
        <w:autoSpaceDN w:val="0"/>
        <w:adjustRightInd w:val="0"/>
        <w:ind w:firstLine="700"/>
        <w:jc w:val="right"/>
      </w:pPr>
    </w:p>
    <w:p w14:paraId="1485DF33" w14:textId="77777777" w:rsidR="008D1FE1" w:rsidRDefault="008D1FE1" w:rsidP="00F074FE">
      <w:pPr>
        <w:autoSpaceDE w:val="0"/>
        <w:autoSpaceDN w:val="0"/>
        <w:adjustRightInd w:val="0"/>
        <w:ind w:firstLine="700"/>
        <w:jc w:val="right"/>
      </w:pPr>
    </w:p>
    <w:p w14:paraId="6ED07706" w14:textId="77777777" w:rsidR="008D1FE1" w:rsidRDefault="008D1FE1" w:rsidP="00F074FE">
      <w:pPr>
        <w:autoSpaceDE w:val="0"/>
        <w:autoSpaceDN w:val="0"/>
        <w:adjustRightInd w:val="0"/>
        <w:ind w:firstLine="700"/>
        <w:jc w:val="right"/>
      </w:pPr>
    </w:p>
    <w:sectPr w:rsidR="008D1FE1" w:rsidSect="002E3BE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7E8CDDE"/>
    <w:multiLevelType w:val="hybridMultilevel"/>
    <w:tmpl w:val="92DAD80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B496004"/>
    <w:multiLevelType w:val="hybridMultilevel"/>
    <w:tmpl w:val="CEAD283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4C3BA02"/>
    <w:multiLevelType w:val="hybridMultilevel"/>
    <w:tmpl w:val="9338DA3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653A21E"/>
    <w:multiLevelType w:val="hybridMultilevel"/>
    <w:tmpl w:val="6A87BC4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pStyle w:val="1"/>
      <w:lvlText w:val=""/>
      <w:lvlJc w:val="left"/>
    </w:lvl>
  </w:abstractNum>
  <w:abstractNum w:abstractNumId="4">
    <w:nsid w:val="15934D0F"/>
    <w:multiLevelType w:val="singleLevel"/>
    <w:tmpl w:val="EED63C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27866B97"/>
    <w:multiLevelType w:val="multilevel"/>
    <w:tmpl w:val="99141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2F2A1178"/>
    <w:multiLevelType w:val="hybridMultilevel"/>
    <w:tmpl w:val="C5B0889E"/>
    <w:lvl w:ilvl="0" w:tplc="BB9CED4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E9"/>
    <w:rsid w:val="000A5CE5"/>
    <w:rsid w:val="00121083"/>
    <w:rsid w:val="00125AAC"/>
    <w:rsid w:val="00131875"/>
    <w:rsid w:val="00136E8A"/>
    <w:rsid w:val="001C101E"/>
    <w:rsid w:val="001D442D"/>
    <w:rsid w:val="00200B12"/>
    <w:rsid w:val="002831CC"/>
    <w:rsid w:val="002A4E15"/>
    <w:rsid w:val="002A63F5"/>
    <w:rsid w:val="002E3BEC"/>
    <w:rsid w:val="002F3A74"/>
    <w:rsid w:val="0031505D"/>
    <w:rsid w:val="00337A16"/>
    <w:rsid w:val="003475E0"/>
    <w:rsid w:val="003825A5"/>
    <w:rsid w:val="00386140"/>
    <w:rsid w:val="003B3B3B"/>
    <w:rsid w:val="003F197F"/>
    <w:rsid w:val="00414458"/>
    <w:rsid w:val="004E557E"/>
    <w:rsid w:val="0054514E"/>
    <w:rsid w:val="0057393D"/>
    <w:rsid w:val="005C14A2"/>
    <w:rsid w:val="005C2D99"/>
    <w:rsid w:val="00674098"/>
    <w:rsid w:val="00756201"/>
    <w:rsid w:val="007640D9"/>
    <w:rsid w:val="0078342B"/>
    <w:rsid w:val="00796491"/>
    <w:rsid w:val="007E7B32"/>
    <w:rsid w:val="007F3270"/>
    <w:rsid w:val="0081710D"/>
    <w:rsid w:val="00822BCF"/>
    <w:rsid w:val="008502C6"/>
    <w:rsid w:val="008A70BB"/>
    <w:rsid w:val="008D1FE1"/>
    <w:rsid w:val="008D6143"/>
    <w:rsid w:val="008F335D"/>
    <w:rsid w:val="009672E9"/>
    <w:rsid w:val="00973D66"/>
    <w:rsid w:val="00974C9A"/>
    <w:rsid w:val="00981A07"/>
    <w:rsid w:val="009D2438"/>
    <w:rsid w:val="009F593A"/>
    <w:rsid w:val="00A44685"/>
    <w:rsid w:val="00A85A60"/>
    <w:rsid w:val="00A904E3"/>
    <w:rsid w:val="00AC4CD5"/>
    <w:rsid w:val="00AE4584"/>
    <w:rsid w:val="00AF2578"/>
    <w:rsid w:val="00B164C1"/>
    <w:rsid w:val="00B3242D"/>
    <w:rsid w:val="00B56A17"/>
    <w:rsid w:val="00B57461"/>
    <w:rsid w:val="00B73DB0"/>
    <w:rsid w:val="00B87C80"/>
    <w:rsid w:val="00B923BF"/>
    <w:rsid w:val="00B95A6E"/>
    <w:rsid w:val="00BF5224"/>
    <w:rsid w:val="00C11C90"/>
    <w:rsid w:val="00C34622"/>
    <w:rsid w:val="00C35225"/>
    <w:rsid w:val="00C4347A"/>
    <w:rsid w:val="00C52991"/>
    <w:rsid w:val="00CA1E37"/>
    <w:rsid w:val="00CB7CD5"/>
    <w:rsid w:val="00CE1E4F"/>
    <w:rsid w:val="00D177E0"/>
    <w:rsid w:val="00D35578"/>
    <w:rsid w:val="00D64A35"/>
    <w:rsid w:val="00D675F2"/>
    <w:rsid w:val="00D915F0"/>
    <w:rsid w:val="00DB0D50"/>
    <w:rsid w:val="00DB5C71"/>
    <w:rsid w:val="00DB6CD1"/>
    <w:rsid w:val="00DD676F"/>
    <w:rsid w:val="00E34405"/>
    <w:rsid w:val="00E74DD4"/>
    <w:rsid w:val="00EA1342"/>
    <w:rsid w:val="00EA53E9"/>
    <w:rsid w:val="00EA7309"/>
    <w:rsid w:val="00EB6F58"/>
    <w:rsid w:val="00EB7A12"/>
    <w:rsid w:val="00ED7A8B"/>
    <w:rsid w:val="00F074FE"/>
    <w:rsid w:val="00F30F43"/>
    <w:rsid w:val="00F7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A6A586"/>
  <w15:chartTrackingRefBased/>
  <w15:docId w15:val="{9B93811F-9A88-4E61-8BAA-85420E72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177E0"/>
    <w:pPr>
      <w:keepNext/>
      <w:widowControl w:val="0"/>
      <w:numPr>
        <w:ilvl w:val="8"/>
        <w:numId w:val="2"/>
      </w:numPr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9672E9"/>
  </w:style>
  <w:style w:type="paragraph" w:customStyle="1" w:styleId="Default">
    <w:name w:val="Default"/>
    <w:rsid w:val="00D177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8">
    <w:name w:val="......... 8"/>
    <w:basedOn w:val="Default"/>
    <w:next w:val="Default"/>
    <w:rsid w:val="00D177E0"/>
    <w:pPr>
      <w:spacing w:before="240" w:after="60"/>
    </w:pPr>
    <w:rPr>
      <w:color w:val="auto"/>
    </w:rPr>
  </w:style>
  <w:style w:type="paragraph" w:customStyle="1" w:styleId="a3">
    <w:name w:val="......."/>
    <w:basedOn w:val="Default"/>
    <w:next w:val="Default"/>
    <w:rsid w:val="00D177E0"/>
    <w:rPr>
      <w:color w:val="auto"/>
    </w:rPr>
  </w:style>
  <w:style w:type="paragraph" w:customStyle="1" w:styleId="a4">
    <w:name w:val="........"/>
    <w:basedOn w:val="Default"/>
    <w:next w:val="Default"/>
    <w:rsid w:val="00D177E0"/>
    <w:rPr>
      <w:color w:val="auto"/>
    </w:rPr>
  </w:style>
  <w:style w:type="paragraph" w:customStyle="1" w:styleId="11">
    <w:name w:val="......... 1"/>
    <w:basedOn w:val="Default"/>
    <w:next w:val="Default"/>
    <w:rsid w:val="00D177E0"/>
    <w:rPr>
      <w:color w:val="auto"/>
    </w:rPr>
  </w:style>
  <w:style w:type="paragraph" w:customStyle="1" w:styleId="2">
    <w:name w:val="......... 2"/>
    <w:basedOn w:val="Default"/>
    <w:next w:val="Default"/>
    <w:rsid w:val="00D177E0"/>
    <w:pPr>
      <w:spacing w:before="380" w:after="20"/>
    </w:pPr>
    <w:rPr>
      <w:color w:val="auto"/>
    </w:rPr>
  </w:style>
  <w:style w:type="paragraph" w:customStyle="1" w:styleId="a5">
    <w:name w:val="....... (...)"/>
    <w:basedOn w:val="Default"/>
    <w:next w:val="Default"/>
    <w:rsid w:val="00D177E0"/>
    <w:pPr>
      <w:spacing w:after="100"/>
    </w:pPr>
    <w:rPr>
      <w:color w:val="auto"/>
    </w:rPr>
  </w:style>
  <w:style w:type="paragraph" w:customStyle="1" w:styleId="4">
    <w:name w:val="......... 4"/>
    <w:basedOn w:val="Default"/>
    <w:next w:val="Default"/>
    <w:rsid w:val="00D177E0"/>
    <w:pPr>
      <w:spacing w:before="240" w:after="60"/>
    </w:pPr>
    <w:rPr>
      <w:color w:val="auto"/>
    </w:rPr>
  </w:style>
  <w:style w:type="character" w:styleId="a6">
    <w:name w:val="Hyperlink"/>
    <w:rsid w:val="003F197F"/>
    <w:rPr>
      <w:color w:val="0000FF"/>
      <w:u w:val="single"/>
    </w:rPr>
  </w:style>
  <w:style w:type="paragraph" w:styleId="a7">
    <w:name w:val="Balloon Text"/>
    <w:basedOn w:val="a"/>
    <w:semiHidden/>
    <w:rsid w:val="00F074FE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16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rsid w:val="00C34622"/>
    <w:pPr>
      <w:jc w:val="center"/>
    </w:pPr>
    <w:rPr>
      <w:rFonts w:ascii="Courier New" w:hAnsi="Courier New"/>
      <w:b/>
      <w:snapToGrid w:val="0"/>
      <w:color w:val="000080"/>
      <w:szCs w:val="20"/>
    </w:rPr>
  </w:style>
  <w:style w:type="paragraph" w:styleId="aa">
    <w:name w:val="List Paragraph"/>
    <w:basedOn w:val="a"/>
    <w:uiPriority w:val="34"/>
    <w:qFormat/>
    <w:rsid w:val="002E3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6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63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662&amp;dst=100160" TargetMode="External"/><Relationship Id="rId11" Type="http://schemas.openxmlformats.org/officeDocument/2006/relationships/hyperlink" Target="http://www.dcapital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826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74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7769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2</Company>
  <LinksUpToDate>false</LinksUpToDate>
  <CharactersWithSpaces>8789</CharactersWithSpaces>
  <SharedDoc>false</SharedDoc>
  <HLinks>
    <vt:vector size="6" baseType="variant">
      <vt:variant>
        <vt:i4>8192041</vt:i4>
      </vt:variant>
      <vt:variant>
        <vt:i4>0</vt:i4>
      </vt:variant>
      <vt:variant>
        <vt:i4>0</vt:i4>
      </vt:variant>
      <vt:variant>
        <vt:i4>5</vt:i4>
      </vt:variant>
      <vt:variant>
        <vt:lpwstr>http://www.dcapital.ru/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SAFINA</dc:creator>
  <cp:keywords/>
  <cp:lastModifiedBy>demov</cp:lastModifiedBy>
  <cp:revision>3</cp:revision>
  <cp:lastPrinted>2020-10-06T08:13:00Z</cp:lastPrinted>
  <dcterms:created xsi:type="dcterms:W3CDTF">2026-06-19T13:14:00Z</dcterms:created>
  <dcterms:modified xsi:type="dcterms:W3CDTF">2026-06-19T13:14:00Z</dcterms:modified>
</cp:coreProperties>
</file>