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DB" w:rsidRPr="00754684" w:rsidRDefault="001D51DB" w:rsidP="001D51DB">
      <w:pPr>
        <w:pStyle w:val="1"/>
        <w:tabs>
          <w:tab w:val="left" w:pos="1052"/>
        </w:tabs>
        <w:spacing w:after="120" w:line="276" w:lineRule="auto"/>
        <w:ind w:firstLine="0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754684">
        <w:rPr>
          <w:b/>
          <w:bCs/>
          <w:color w:val="000000"/>
          <w:sz w:val="28"/>
          <w:szCs w:val="28"/>
          <w:lang w:eastAsia="ru-RU" w:bidi="ru-RU"/>
        </w:rPr>
        <w:t>ТЕСТИРОВАНИЕ НЕКВАЛИФИЦИРОВАННЫХ ИНВЕСТОРОВ</w:t>
      </w:r>
    </w:p>
    <w:p w:rsidR="001D51DB" w:rsidRPr="00F22779" w:rsidRDefault="001D51DB" w:rsidP="001D51DB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пройти тестирование неквалифицированных инвесторов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даёт неквалифицированным инвесторам доступ к более сложным и рискованным инструментам и сделкам.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нужно тестирование неквалифицированных инвесторов?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1 октября 2021г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России ограничил неквалифицированным инвесторам доступ к высокорискованным инструментам и обязал брокеров проверять знания перед такими сделками.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Наименее рискованные инструменты доступны всем инвесторам: наиболее ликвидные акции, большинство облигаций федерального займа и компаний с высоким кредитным рейтингом, а также биржевых фондов.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для доступа к более сложным, а значит, более рискованным инструментам нужно пройти специальное тестирование — подтвердить, что понимаете, как они работают и какие у них риски. Например, тест понадобится, чтобы торговать с плечом, покупать фьючерсы, опционы, структурные облигации или акции третьего эшелона.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Квалифицированным инвесторам тестирование не нужно — им доступны все инструменты. 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каким инструментам даёт доступ тестирование неквалифицированных инвесторов?</w:t>
      </w:r>
    </w:p>
    <w:p w:rsidR="001D51DB" w:rsidRPr="00754684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открывает клиентам без статуса квалифицированного инвестора доступ к более сложным и рискованным инструментам и сделкам</w:t>
      </w:r>
      <w:r w:rsidRPr="0075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Облигации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российские облигации без кредитного рейтинга или с уровнем ниже </w:t>
      </w:r>
      <w:hyperlink r:id="rId5" w:tgtFrame="_blank" w:history="1">
        <w:r w:rsidRPr="00F22779">
          <w:rPr>
            <w:rFonts w:ascii="Times New Roman" w:eastAsia="Times New Roman" w:hAnsi="Times New Roman" w:cs="Times New Roman"/>
            <w:color w:val="08A652"/>
            <w:sz w:val="24"/>
            <w:szCs w:val="24"/>
            <w:u w:val="single"/>
            <w:lang w:eastAsia="ru-RU"/>
          </w:rPr>
          <w:t>установленного Банком России</w:t>
        </w:r>
      </w:hyperlink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облигации иностранных эмитентов без кредитного рейтинга или с уровнем ниже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Pr="00F22779">
          <w:rPr>
            <w:rFonts w:ascii="Times New Roman" w:eastAsia="Times New Roman" w:hAnsi="Times New Roman" w:cs="Times New Roman"/>
            <w:color w:val="08A652"/>
            <w:sz w:val="24"/>
            <w:szCs w:val="24"/>
            <w:u w:val="single"/>
            <w:lang w:eastAsia="ru-RU"/>
          </w:rPr>
          <w:t>установленного Банком России</w:t>
        </w:r>
      </w:hyperlink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облигации, обеспеченные залогом денежных требований;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облигации российских или иностранных эмитентов, конвертируемые в другие ценные бумаги;</w:t>
      </w:r>
    </w:p>
    <w:p w:rsidR="001D51DB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облигации;</w:t>
      </w:r>
    </w:p>
    <w:p w:rsidR="001D51DB" w:rsidRPr="00F22779" w:rsidRDefault="001D51DB" w:rsidP="001D51DB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облигации со структурным доходом, в том числе Инвестиционные облигации </w:t>
      </w:r>
      <w:proofErr w:type="spellStart"/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СберБанка</w:t>
      </w:r>
      <w:proofErr w:type="spellEnd"/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(ИОС).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Паи фондов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паи (акции) иностранных ETF вне котировальных списков и не входящие в индексы из </w:t>
      </w:r>
      <w:hyperlink r:id="rId7" w:tgtFrame="_blank" w:history="1">
        <w:r w:rsidRPr="00F22779">
          <w:rPr>
            <w:rFonts w:ascii="Times New Roman" w:eastAsia="Times New Roman" w:hAnsi="Times New Roman" w:cs="Times New Roman"/>
            <w:color w:val="08A652"/>
            <w:sz w:val="24"/>
            <w:szCs w:val="24"/>
            <w:u w:val="single"/>
            <w:lang w:eastAsia="ru-RU"/>
          </w:rPr>
          <w:t>перечня Банка России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паи закрытых паевых инвестиционных фондов (</w:t>
      </w:r>
      <w:proofErr w:type="spellStart"/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ЗПИФов</w:t>
      </w:r>
      <w:proofErr w:type="spellEnd"/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Акции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акции с повышенным уровнем риска;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акции вне котировальных списков и не входящие в индексы из </w:t>
      </w:r>
      <w:hyperlink r:id="rId8" w:tgtFrame="_blank" w:history="1">
        <w:r w:rsidRPr="00F22779">
          <w:rPr>
            <w:rFonts w:ascii="Times New Roman" w:eastAsia="Times New Roman" w:hAnsi="Times New Roman" w:cs="Times New Roman"/>
            <w:color w:val="08A652"/>
            <w:sz w:val="24"/>
            <w:szCs w:val="24"/>
            <w:u w:val="single"/>
            <w:lang w:eastAsia="ru-RU"/>
          </w:rPr>
          <w:t>перечня Банка России</w:t>
        </w:r>
      </w:hyperlink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1 января 2025 года неквалифицированные инвесторы могут торговать только ценными бумагами из Евразийского экономического союза (ЕАЭС) и международных финансовых организаций, которые учитываются только в инфраструктуре ЕАЭС.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Другое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производные финансовые инструменты — например, фьючерсы;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необеспеченные сделки — торговля на заёмные деньги и финансовые инструменты от брокера;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сделки РЕПО.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 каждому инструменту из перечисленных выше нужно пройти отдельный тест.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тест только по тем финансовым инструментам, которые планируете использовать: например, по структурным облигациям или акциям вне котировальных списков.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Подробнее со списком инструментов и порядком тестирования можно ознакомиться в </w:t>
      </w:r>
      <w:hyperlink r:id="rId9" w:tgtFrame="_blank" w:history="1">
        <w:r w:rsidRPr="00F22779">
          <w:rPr>
            <w:rFonts w:ascii="Times New Roman" w:eastAsia="Times New Roman" w:hAnsi="Times New Roman" w:cs="Times New Roman"/>
            <w:color w:val="18762A"/>
            <w:sz w:val="24"/>
            <w:szCs w:val="24"/>
            <w:u w:val="single"/>
            <w:lang w:eastAsia="ru-RU"/>
          </w:rPr>
          <w:t>ст. 6 Базового стандарта защиты прав и интересов клиентов брокеров</w:t>
        </w:r>
      </w:hyperlink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Важно: для части инструментов одного тестирования недостаточно — нужен статус квалифицированного инвестора. 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получить статус квалифицированного инвестора.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Исключение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 не нужен, если покупаете тот же актив, который уже покупали до 1 октября 2021 года.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устроено тестирование неквалифицированных инвесторов?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состоит из двух частей.</w:t>
      </w:r>
    </w:p>
    <w:p w:rsidR="001D51DB" w:rsidRPr="00F22779" w:rsidRDefault="001D51DB" w:rsidP="001D51D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«Самооценка»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три вопроса об опыте и оценке собственных знаний инвестора о финансовом инструменте. Например, есть ли опыт сделок с выбранным инструментом или сколько сделок с ним было за последний год.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 эти вопросы не влияют на результат теста — они помогают понять, готов ли инвестор использовать инструмент.</w:t>
      </w:r>
    </w:p>
    <w:p w:rsidR="001D51DB" w:rsidRPr="00F22779" w:rsidRDefault="001D51DB" w:rsidP="001D51D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«Знания»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четыре вопроса с вариантами ответов об особенностях и рисках инструмента. Например, что такое ликвидность акций или как рассчитать потенциальные убытки при продаже опциона.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пройти тест, необходимо ответить на все вопросы из блока «Знания», ответы в блоке «Самооценка» не влияют на результат.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 не сдали тест, его можно сразу же пересдать — количество попыток не ограничено. 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пройти тестирование неквалифицированных инвесторов?</w:t>
      </w:r>
    </w:p>
    <w:p w:rsidR="001D51DB" w:rsidRPr="00F22779" w:rsidRDefault="00AE15D1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Тесты разработаны Банком России совместно с профессиональными участниками рынка и проводятся брокерами бесплатно.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Клиенты могут пройти тестирование в центральном офисе Банка.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попыток </w:t>
      </w:r>
      <w:proofErr w:type="spellStart"/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неограничено</w:t>
      </w:r>
      <w:proofErr w:type="spellEnd"/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если не сдали тест, его можно сразу пересдать.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Сколько действует тест?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теста действует пять лет, но срок отсчитывается по-разному: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момента успешного прохождения теста, если по инструменту не было ни одной сделки;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даты последней сделки или поручения по этому инструменту.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результат тестирования у одного брокера не засчитывается у другого.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если тест пройден у другого брокера,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нужно пройти заново, чтобы открыть доступ к нужным инструментам.</w:t>
      </w:r>
    </w:p>
    <w:p w:rsidR="001D51DB" w:rsidRPr="00F22779" w:rsidRDefault="001D51DB" w:rsidP="001D51D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подготовиться к сдаче тестирования неквалифицированных инвесторов?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тестом полезно: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как работает выбранный инструмент и какие у него риски;</w:t>
      </w:r>
    </w:p>
    <w:p w:rsidR="001D51DB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обучающие материалы брокера или Банка России по этому инструменту;</w:t>
      </w:r>
    </w:p>
    <w:p w:rsidR="001D51DB" w:rsidRPr="00F22779" w:rsidRDefault="001D51DB" w:rsidP="001D51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22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 ликвидность, возможные убытки, плечо и особенности расчётов.</w:t>
      </w:r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Необеспеченные сделки (маржинальная торговля)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Производные финансовые инструменты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Сделки РЕПО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Закрытый ПИФ (ЗПИФ)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Паи ETF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Структурные облигации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Облигации со структурным доходом, в том числе ИОС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Облигации с низким кредитным рейтингом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Российские еврооблигации с низким кредитным рейтингом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Иностранные акции вне котировальных списков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Российские акции с повышенным уровнем риска</w:t>
        </w:r>
      </w:hyperlink>
    </w:p>
    <w:p w:rsidR="001D51DB" w:rsidRPr="00F22779" w:rsidRDefault="00AE15D1" w:rsidP="001D51DB">
      <w:pPr>
        <w:numPr>
          <w:ilvl w:val="0"/>
          <w:numId w:val="1"/>
        </w:numPr>
        <w:spacing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Облигации с залоговым обеспечением денежными требованиями</w:t>
        </w:r>
      </w:hyperlink>
    </w:p>
    <w:p w:rsidR="001D51DB" w:rsidRPr="00754684" w:rsidRDefault="00AE15D1" w:rsidP="001D51DB">
      <w:pPr>
        <w:numPr>
          <w:ilvl w:val="0"/>
          <w:numId w:val="1"/>
        </w:numPr>
        <w:spacing w:beforeAutospacing="1" w:after="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="001D51DB" w:rsidRPr="00F2277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Конвертируемые облигации</w:t>
        </w:r>
      </w:hyperlink>
    </w:p>
    <w:p w:rsidR="001D51DB" w:rsidRPr="00B63185" w:rsidRDefault="001D51DB" w:rsidP="001D51DB">
      <w:pPr>
        <w:pStyle w:val="2"/>
        <w:spacing w:before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3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Если сдать тест, можно стать квалифицированным инвестором?</w:t>
      </w:r>
    </w:p>
    <w:p w:rsidR="001D51DB" w:rsidRPr="00B63185" w:rsidRDefault="001D51DB" w:rsidP="001D51DB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779">
        <w:rPr>
          <w:rFonts w:ascii="Times New Roman" w:hAnsi="Times New Roman" w:cs="Times New Roman"/>
          <w:color w:val="000000"/>
          <w:sz w:val="24"/>
          <w:szCs w:val="24"/>
        </w:rPr>
        <w:t>Нет, сдача тестов для неквалифицированных инвесторов не даёт статус квалифицированного инвестора.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779">
        <w:rPr>
          <w:rFonts w:ascii="Times New Roman" w:hAnsi="Times New Roman" w:cs="Times New Roman"/>
          <w:color w:val="000000"/>
          <w:sz w:val="24"/>
          <w:szCs w:val="24"/>
        </w:rPr>
        <w:t>Прохождение теста лишь открывает доступ к ряду более сложных и рискованных инструментов и сделок.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779">
        <w:rPr>
          <w:rFonts w:ascii="Times New Roman" w:hAnsi="Times New Roman" w:cs="Times New Roman"/>
          <w:color w:val="000000"/>
          <w:sz w:val="24"/>
          <w:szCs w:val="24"/>
        </w:rPr>
        <w:t>При этом часть бумаг доступна только квалифицированным инвесторам — после тестирования они не откроются.</w:t>
      </w:r>
    </w:p>
    <w:p w:rsidR="004B2D3F" w:rsidRDefault="004B2D3F"/>
    <w:sectPr w:rsidR="004B2D3F" w:rsidSect="003706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F5867"/>
    <w:multiLevelType w:val="multilevel"/>
    <w:tmpl w:val="7BC2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DB"/>
    <w:rsid w:val="001D51DB"/>
    <w:rsid w:val="004B2D3F"/>
    <w:rsid w:val="00AE15D1"/>
    <w:rsid w:val="00D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319241-1F09-4DD4-8074-EB101E42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D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5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Основной текст_"/>
    <w:basedOn w:val="a0"/>
    <w:link w:val="1"/>
    <w:rsid w:val="001D51D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D51DB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1D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about_br/dir/rsd_2021-07-23_2/" TargetMode="External"/><Relationship Id="rId13" Type="http://schemas.openxmlformats.org/officeDocument/2006/relationships/hyperlink" Target="https://www.sberbank.ru/ru/person/investments/voprosy-i-otvety-po-investitsiyam/slozhnyye-finansovyye-instrumenty/sdelki-repo" TargetMode="External"/><Relationship Id="rId18" Type="http://schemas.openxmlformats.org/officeDocument/2006/relationships/hyperlink" Target="https://www.sberbank.ru/ru/person/investments/voprosy-i-otvety-po-investitsiyam/slozhnyye-finansovyye-instrumenty/rossiyskiye-evrobondy-s-nizkim-kreditnym-reyting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berbank.ru/ru/person/investments/voprosy-i-otvety-po-investitsiyam/slozhnyye-finansovyye-instrumenty/obligatsii-s-zalogovym-obespecheniyem-denezhnymi-trebovaniyami" TargetMode="External"/><Relationship Id="rId7" Type="http://schemas.openxmlformats.org/officeDocument/2006/relationships/hyperlink" Target="https://www.cbr.ru/about_br/dir/rsd_2021-07-23_2/" TargetMode="External"/><Relationship Id="rId12" Type="http://schemas.openxmlformats.org/officeDocument/2006/relationships/hyperlink" Target="https://www.sberbank.ru/ru/person/investments/voprosy-i-otvety-po-investitsiyam/slozhnyye-finansovyye-instrumenty/sdelki-repo" TargetMode="External"/><Relationship Id="rId17" Type="http://schemas.openxmlformats.org/officeDocument/2006/relationships/hyperlink" Target="https://www.sberbank.ru/ru/person/investments/voprosy-i-otvety-po-investitsiyam/slozhnyye-finansovyye-instrumenty/obligatsii-s-nizkim-kreditnym-reyting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erbank.ru/ru/person/investments/voprosy-i-otvety-po-investitsiyam/slozhnyye-finansovyye-instrumenty/obligatsii-so-strukturnym-dokhodom" TargetMode="External"/><Relationship Id="rId20" Type="http://schemas.openxmlformats.org/officeDocument/2006/relationships/hyperlink" Target="https://www.sberbank.ru/ru/person/investments/voprosy-i-otvety-po-investitsiyam/slozhnyye-finansovyye-instrumenty/rossiyskiye-aktsii-s-povyshennym-urovnem-risk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br.ru/about_br/dir/rsd_2021-07-23_1/" TargetMode="External"/><Relationship Id="rId11" Type="http://schemas.openxmlformats.org/officeDocument/2006/relationships/hyperlink" Target="https://www.sberbank.ru/ru/person/investments/voprosy-i-otvety-po-investitsiyam/slozhnyye-finansovyye-instrumenty/proizvodnyye-finansovyye-instrument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br.ru/about_br/dir/rsd_2021-07-23_1/" TargetMode="External"/><Relationship Id="rId15" Type="http://schemas.openxmlformats.org/officeDocument/2006/relationships/hyperlink" Target="https://www.sberbank.ru/ru/person/investments/voprosy-i-otvety-po-investitsiyam/slozhnyye-finansovyye-instrumenty/strukturnyye-obligatsi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berbank.ru/ru/person/investments/voprosy-i-otvety-po-investitsiyam/slozhnyye-finansovyye-instrumenty/neobespechennyye-sdelki-marzhinalnaya-torgovlya" TargetMode="External"/><Relationship Id="rId19" Type="http://schemas.openxmlformats.org/officeDocument/2006/relationships/hyperlink" Target="https://www.sberbank.ru/ru/person/investments/voprosy-i-otvety-po-investitsiyam/slozhnyye-finansovyye-instrumenty/inostrannyye-aktsii-vne-kotirovalnykh-spis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Queries/UniDbQuery/File/90002/30" TargetMode="External"/><Relationship Id="rId14" Type="http://schemas.openxmlformats.org/officeDocument/2006/relationships/hyperlink" Target="https://www.sberbank.ru/ru/person/investments/voprosy-i-otvety-po-investitsiyam/slozhnyye-finansovyye-instrumenty/pai-etf" TargetMode="External"/><Relationship Id="rId22" Type="http://schemas.openxmlformats.org/officeDocument/2006/relationships/hyperlink" Target="https://www.sberbank.ru/ru/person/investments/voprosy-i-otvety-po-investitsiyam/slozhnyye-finansovyye-instrumenty/konvertiruyemyye-oblig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marinas@transit.mhb</dc:creator>
  <cp:keywords/>
  <dc:description/>
  <cp:lastModifiedBy>demov</cp:lastModifiedBy>
  <cp:revision>3</cp:revision>
  <dcterms:created xsi:type="dcterms:W3CDTF">2026-06-30T08:37:00Z</dcterms:created>
  <dcterms:modified xsi:type="dcterms:W3CDTF">2026-06-30T09:01:00Z</dcterms:modified>
</cp:coreProperties>
</file>